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B8C3A" w14:textId="77777777" w:rsidR="00C4385C" w:rsidRPr="00AB51F7" w:rsidRDefault="00C4385C" w:rsidP="00752E1C">
      <w:pPr>
        <w:tabs>
          <w:tab w:val="left" w:pos="2023"/>
        </w:tabs>
        <w:spacing w:line="276" w:lineRule="auto"/>
        <w:rPr>
          <w:rFonts w:ascii="Calibri" w:hAnsi="Calibri" w:cs="Calibri"/>
          <w:b/>
          <w:bCs/>
          <w:sz w:val="20"/>
          <w:szCs w:val="20"/>
        </w:rPr>
      </w:pPr>
    </w:p>
    <w:p w14:paraId="1A4AF4A1" w14:textId="083461BE" w:rsidR="00E0255D" w:rsidRPr="00AB51F7" w:rsidRDefault="00E0255D" w:rsidP="00E0255D">
      <w:pPr>
        <w:jc w:val="center"/>
        <w:rPr>
          <w:rFonts w:ascii="Calibri" w:hAnsi="Calibri" w:cs="Calibri"/>
          <w:b/>
          <w:sz w:val="28"/>
          <w:szCs w:val="28"/>
        </w:rPr>
      </w:pPr>
      <w:r w:rsidRPr="00AB51F7">
        <w:rPr>
          <w:rFonts w:ascii="Calibri" w:hAnsi="Calibri" w:cs="Calibri"/>
          <w:b/>
          <w:sz w:val="28"/>
          <w:szCs w:val="28"/>
        </w:rPr>
        <w:t>FI</w:t>
      </w:r>
      <w:r w:rsidR="00C4385C" w:rsidRPr="00AB51F7">
        <w:rPr>
          <w:rFonts w:ascii="Calibri" w:hAnsi="Calibri" w:cs="Calibri"/>
          <w:b/>
          <w:sz w:val="28"/>
          <w:szCs w:val="28"/>
        </w:rPr>
        <w:t>Ș</w:t>
      </w:r>
      <w:r w:rsidRPr="00AB51F7">
        <w:rPr>
          <w:rFonts w:ascii="Calibri" w:hAnsi="Calibri" w:cs="Calibri"/>
          <w:b/>
          <w:sz w:val="28"/>
          <w:szCs w:val="28"/>
        </w:rPr>
        <w:t>A DISCIPLINEI</w:t>
      </w:r>
    </w:p>
    <w:p w14:paraId="16E71824" w14:textId="77777777" w:rsidR="00C4385C" w:rsidRPr="00AB51F7" w:rsidRDefault="00C4385C" w:rsidP="00C4385C">
      <w:pPr>
        <w:rPr>
          <w:rFonts w:ascii="Calibri" w:hAnsi="Calibri" w:cs="Calibri"/>
          <w:b/>
          <w:sz w:val="20"/>
          <w:szCs w:val="20"/>
        </w:rPr>
      </w:pPr>
    </w:p>
    <w:p w14:paraId="48979124" w14:textId="77777777" w:rsidR="00E0255D" w:rsidRPr="00AB51F7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4"/>
        <w:gridCol w:w="5780"/>
      </w:tblGrid>
      <w:tr w:rsidR="00E0255D" w:rsidRPr="00AB51F7" w14:paraId="5F99CFA1" w14:textId="77777777" w:rsidTr="00080D22">
        <w:tc>
          <w:tcPr>
            <w:tcW w:w="1907" w:type="pct"/>
            <w:vAlign w:val="center"/>
          </w:tcPr>
          <w:p w14:paraId="79A7E4F2" w14:textId="4F0814BD" w:rsidR="00E0255D" w:rsidRPr="00AB51F7" w:rsidRDefault="00E0255D" w:rsidP="00E0255D">
            <w:pPr>
              <w:pStyle w:val="NoSpacing"/>
              <w:numPr>
                <w:ilvl w:val="1"/>
                <w:numId w:val="27"/>
              </w:numPr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Institu</w:t>
            </w:r>
            <w:r w:rsidR="00C4385C" w:rsidRPr="00AB51F7">
              <w:rPr>
                <w:rFonts w:cs="Calibri"/>
                <w:lang w:val="ro-RO"/>
              </w:rPr>
              <w:t>ț</w:t>
            </w:r>
            <w:r w:rsidRPr="00AB51F7">
              <w:rPr>
                <w:rFonts w:cs="Calibri"/>
                <w:lang w:val="ro-RO"/>
              </w:rPr>
              <w:t>ia de învă</w:t>
            </w:r>
            <w:r w:rsidR="00C4385C" w:rsidRPr="00AB51F7">
              <w:rPr>
                <w:rFonts w:cs="Calibri"/>
                <w:lang w:val="ro-RO"/>
              </w:rPr>
              <w:t>ț</w:t>
            </w:r>
            <w:r w:rsidRPr="00AB51F7">
              <w:rPr>
                <w:rFonts w:cs="Calibri"/>
                <w:lang w:val="ro-RO"/>
              </w:rPr>
              <w:t>ământ superior</w:t>
            </w:r>
          </w:p>
        </w:tc>
        <w:tc>
          <w:tcPr>
            <w:tcW w:w="3093" w:type="pct"/>
            <w:vAlign w:val="center"/>
          </w:tcPr>
          <w:p w14:paraId="39071412" w14:textId="10F2A9D5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Universitatea de Vest din Timi</w:t>
            </w:r>
            <w:r w:rsidR="00C4385C" w:rsidRPr="00AB51F7">
              <w:rPr>
                <w:rFonts w:cs="Calibri"/>
                <w:lang w:val="ro-RO"/>
              </w:rPr>
              <w:t>ș</w:t>
            </w:r>
            <w:r w:rsidRPr="00AB51F7">
              <w:rPr>
                <w:rFonts w:cs="Calibri"/>
                <w:lang w:val="ro-RO"/>
              </w:rPr>
              <w:t>oara</w:t>
            </w:r>
          </w:p>
        </w:tc>
      </w:tr>
      <w:tr w:rsidR="00E0255D" w:rsidRPr="00AB51F7" w14:paraId="09F1F378" w14:textId="77777777" w:rsidTr="00080D22">
        <w:tc>
          <w:tcPr>
            <w:tcW w:w="1907" w:type="pct"/>
            <w:vAlign w:val="center"/>
          </w:tcPr>
          <w:p w14:paraId="2ABF2C34" w14:textId="7777777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14:paraId="030FA322" w14:textId="5AE4EA1B" w:rsidR="00E0255D" w:rsidRPr="00AB51F7" w:rsidRDefault="00284010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 xml:space="preserve">Facultatea de Psihologie </w:t>
            </w:r>
            <w:r w:rsidR="001E3E32">
              <w:rPr>
                <w:rFonts w:cs="Calibri"/>
                <w:lang w:val="ro-RO"/>
              </w:rPr>
              <w:t>ș</w:t>
            </w:r>
            <w:r>
              <w:rPr>
                <w:rFonts w:cs="Calibri"/>
                <w:lang w:val="ro-RO"/>
              </w:rPr>
              <w:t xml:space="preserve">i </w:t>
            </w:r>
            <w:r w:rsidR="001E3E32">
              <w:rPr>
                <w:rFonts w:cs="Calibri"/>
                <w:lang w:val="ro-RO"/>
              </w:rPr>
              <w:t>Ș</w:t>
            </w:r>
            <w:r>
              <w:rPr>
                <w:rFonts w:cs="Calibri"/>
                <w:lang w:val="ro-RO"/>
              </w:rPr>
              <w:t>tiin</w:t>
            </w:r>
            <w:r w:rsidR="001E3E32">
              <w:rPr>
                <w:rFonts w:cs="Calibri"/>
                <w:lang w:val="ro-RO"/>
              </w:rPr>
              <w:t>ț</w:t>
            </w:r>
            <w:r>
              <w:rPr>
                <w:rFonts w:cs="Calibri"/>
                <w:lang w:val="ro-RO"/>
              </w:rPr>
              <w:t>e ale Educa</w:t>
            </w:r>
            <w:r w:rsidR="001E3E32">
              <w:rPr>
                <w:rFonts w:cs="Calibri"/>
                <w:lang w:val="ro-RO"/>
              </w:rPr>
              <w:t>ț</w:t>
            </w:r>
            <w:r>
              <w:rPr>
                <w:rFonts w:cs="Calibri"/>
                <w:lang w:val="ro-RO"/>
              </w:rPr>
              <w:t>iei</w:t>
            </w:r>
          </w:p>
        </w:tc>
      </w:tr>
      <w:tr w:rsidR="00E0255D" w:rsidRPr="00AB51F7" w14:paraId="3E2ECC7F" w14:textId="77777777" w:rsidTr="00080D22">
        <w:tc>
          <w:tcPr>
            <w:tcW w:w="1907" w:type="pct"/>
            <w:vAlign w:val="center"/>
          </w:tcPr>
          <w:p w14:paraId="22160B34" w14:textId="7777777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1.3 Departamentul</w:t>
            </w:r>
          </w:p>
        </w:tc>
        <w:tc>
          <w:tcPr>
            <w:tcW w:w="3093" w:type="pct"/>
            <w:vAlign w:val="center"/>
          </w:tcPr>
          <w:p w14:paraId="42B894BC" w14:textId="13340C95" w:rsidR="00E0255D" w:rsidRPr="00AB51F7" w:rsidRDefault="00284010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Psihologie</w:t>
            </w:r>
          </w:p>
        </w:tc>
      </w:tr>
      <w:tr w:rsidR="00E0255D" w:rsidRPr="00AB51F7" w14:paraId="38E2999E" w14:textId="77777777" w:rsidTr="00080D22">
        <w:tc>
          <w:tcPr>
            <w:tcW w:w="1907" w:type="pct"/>
            <w:vAlign w:val="center"/>
          </w:tcPr>
          <w:p w14:paraId="2467FE5A" w14:textId="7777777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14:paraId="449590D8" w14:textId="3029FB4A" w:rsidR="00E0255D" w:rsidRPr="00AB51F7" w:rsidRDefault="00284010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Psihologie</w:t>
            </w:r>
          </w:p>
        </w:tc>
      </w:tr>
      <w:tr w:rsidR="00E0255D" w:rsidRPr="00AB51F7" w14:paraId="7410FBFB" w14:textId="77777777" w:rsidTr="00080D22">
        <w:tc>
          <w:tcPr>
            <w:tcW w:w="1907" w:type="pct"/>
            <w:vAlign w:val="center"/>
          </w:tcPr>
          <w:p w14:paraId="682C127F" w14:textId="7777777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14:paraId="7DCE72A4" w14:textId="11E22295" w:rsidR="00E0255D" w:rsidRPr="00AB51F7" w:rsidRDefault="00284010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Masterat</w:t>
            </w:r>
          </w:p>
        </w:tc>
      </w:tr>
      <w:tr w:rsidR="00E0255D" w:rsidRPr="00AB51F7" w14:paraId="0BC03568" w14:textId="77777777" w:rsidTr="00080D22">
        <w:tc>
          <w:tcPr>
            <w:tcW w:w="1907" w:type="pct"/>
            <w:vAlign w:val="center"/>
          </w:tcPr>
          <w:p w14:paraId="4A9FB682" w14:textId="7777777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14:paraId="6C296979" w14:textId="3A6B74BB" w:rsidR="00E0255D" w:rsidRPr="00AB51F7" w:rsidRDefault="00284010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284010">
              <w:rPr>
                <w:rFonts w:cs="Calibri"/>
                <w:lang w:val="ro-RO"/>
              </w:rPr>
              <w:t>Psihologia muncii, organizațională și a transporturilor</w:t>
            </w:r>
          </w:p>
        </w:tc>
      </w:tr>
    </w:tbl>
    <w:p w14:paraId="67CD805D" w14:textId="77777777" w:rsidR="00E0255D" w:rsidRPr="00AB51F7" w:rsidRDefault="00E0255D" w:rsidP="00E0255D">
      <w:pPr>
        <w:rPr>
          <w:rFonts w:ascii="Calibri" w:hAnsi="Calibri" w:cs="Calibri"/>
          <w:sz w:val="20"/>
          <w:szCs w:val="20"/>
        </w:rPr>
      </w:pPr>
    </w:p>
    <w:p w14:paraId="51C268B8" w14:textId="77777777" w:rsidR="00E0255D" w:rsidRPr="00AB51F7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Date despre disciplină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1651"/>
        <w:gridCol w:w="591"/>
        <w:gridCol w:w="1839"/>
        <w:gridCol w:w="630"/>
      </w:tblGrid>
      <w:tr w:rsidR="00E0255D" w:rsidRPr="00AB51F7" w14:paraId="4013AFE0" w14:textId="77777777" w:rsidTr="00E0255D">
        <w:tc>
          <w:tcPr>
            <w:tcW w:w="3828" w:type="dxa"/>
            <w:gridSpan w:val="3"/>
          </w:tcPr>
          <w:p w14:paraId="2A383B21" w14:textId="7777777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2.1 Denumirea disciplinei</w:t>
            </w:r>
          </w:p>
        </w:tc>
        <w:tc>
          <w:tcPr>
            <w:tcW w:w="5561" w:type="dxa"/>
            <w:gridSpan w:val="6"/>
          </w:tcPr>
          <w:p w14:paraId="4A412420" w14:textId="2CD12D41" w:rsidR="00E0255D" w:rsidRPr="00AB51F7" w:rsidRDefault="00284010" w:rsidP="00080D22">
            <w:pPr>
              <w:pStyle w:val="NoSpacing"/>
              <w:spacing w:line="276" w:lineRule="auto"/>
              <w:rPr>
                <w:rFonts w:cs="Calibri"/>
                <w:b/>
                <w:lang w:val="ro-RO"/>
              </w:rPr>
            </w:pPr>
            <w:r w:rsidRPr="00284010">
              <w:rPr>
                <w:rFonts w:cs="Calibri"/>
                <w:b/>
                <w:lang w:val="ro-RO"/>
              </w:rPr>
              <w:t>Administrarea capitalului uman</w:t>
            </w:r>
          </w:p>
        </w:tc>
      </w:tr>
      <w:tr w:rsidR="00E0255D" w:rsidRPr="00AB51F7" w14:paraId="4A61B8F8" w14:textId="77777777" w:rsidTr="00E0255D">
        <w:tc>
          <w:tcPr>
            <w:tcW w:w="3828" w:type="dxa"/>
            <w:gridSpan w:val="3"/>
          </w:tcPr>
          <w:p w14:paraId="4E4EEC75" w14:textId="73DF2536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2.2 Titularul activită</w:t>
            </w:r>
            <w:r w:rsidR="00C4385C" w:rsidRPr="00AB51F7">
              <w:rPr>
                <w:rFonts w:cs="Calibri"/>
                <w:lang w:val="ro-RO"/>
              </w:rPr>
              <w:t>ț</w:t>
            </w:r>
            <w:r w:rsidRPr="00AB51F7">
              <w:rPr>
                <w:rFonts w:cs="Calibri"/>
                <w:lang w:val="ro-RO"/>
              </w:rPr>
              <w:t>ilor de curs</w:t>
            </w:r>
          </w:p>
        </w:tc>
        <w:tc>
          <w:tcPr>
            <w:tcW w:w="5561" w:type="dxa"/>
            <w:gridSpan w:val="6"/>
          </w:tcPr>
          <w:p w14:paraId="44D2144D" w14:textId="769F6190" w:rsidR="00E0255D" w:rsidRPr="00AB51F7" w:rsidRDefault="00284010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Dr. Virga Petru</w:t>
            </w:r>
          </w:p>
        </w:tc>
      </w:tr>
      <w:tr w:rsidR="00E0255D" w:rsidRPr="00AB51F7" w14:paraId="18E3C119" w14:textId="77777777" w:rsidTr="00E0255D">
        <w:tc>
          <w:tcPr>
            <w:tcW w:w="3828" w:type="dxa"/>
            <w:gridSpan w:val="3"/>
          </w:tcPr>
          <w:p w14:paraId="2201EA9F" w14:textId="67BBE6E9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2.3 Titularul activită</w:t>
            </w:r>
            <w:r w:rsidR="00C4385C" w:rsidRPr="00AB51F7">
              <w:rPr>
                <w:rFonts w:cs="Calibri"/>
                <w:lang w:val="ro-RO"/>
              </w:rPr>
              <w:t>ț</w:t>
            </w:r>
            <w:r w:rsidRPr="00AB51F7">
              <w:rPr>
                <w:rFonts w:cs="Calibri"/>
                <w:lang w:val="ro-RO"/>
              </w:rPr>
              <w:t>ilor de seminar</w:t>
            </w:r>
          </w:p>
        </w:tc>
        <w:tc>
          <w:tcPr>
            <w:tcW w:w="5561" w:type="dxa"/>
            <w:gridSpan w:val="6"/>
          </w:tcPr>
          <w:p w14:paraId="3E929826" w14:textId="2EC36D0A" w:rsidR="00E0255D" w:rsidRPr="00AB51F7" w:rsidRDefault="00284010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Dr. Virga Petru</w:t>
            </w:r>
          </w:p>
        </w:tc>
      </w:tr>
      <w:tr w:rsidR="00E0255D" w:rsidRPr="00AB51F7" w14:paraId="2D85BC83" w14:textId="77777777" w:rsidTr="00C4385C">
        <w:tc>
          <w:tcPr>
            <w:tcW w:w="1843" w:type="dxa"/>
          </w:tcPr>
          <w:p w14:paraId="7473A702" w14:textId="7777777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2.4 Anul de studiu</w:t>
            </w:r>
          </w:p>
        </w:tc>
        <w:tc>
          <w:tcPr>
            <w:tcW w:w="567" w:type="dxa"/>
          </w:tcPr>
          <w:p w14:paraId="13DAEA25" w14:textId="61EAE3D6" w:rsidR="00E0255D" w:rsidRPr="00AB51F7" w:rsidRDefault="00284010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II</w:t>
            </w:r>
          </w:p>
        </w:tc>
        <w:tc>
          <w:tcPr>
            <w:tcW w:w="1701" w:type="dxa"/>
            <w:gridSpan w:val="2"/>
          </w:tcPr>
          <w:p w14:paraId="50554F01" w14:textId="77777777" w:rsidR="00E0255D" w:rsidRPr="00AB51F7" w:rsidRDefault="00E0255D" w:rsidP="00080D22">
            <w:pPr>
              <w:pStyle w:val="NoSpacing"/>
              <w:spacing w:line="276" w:lineRule="auto"/>
              <w:ind w:right="-108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2.5 Semestrul</w:t>
            </w:r>
          </w:p>
        </w:tc>
        <w:tc>
          <w:tcPr>
            <w:tcW w:w="567" w:type="dxa"/>
          </w:tcPr>
          <w:p w14:paraId="73C4B0BA" w14:textId="0B336821" w:rsidR="00E0255D" w:rsidRPr="00AB51F7" w:rsidRDefault="00284010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2</w:t>
            </w:r>
          </w:p>
        </w:tc>
        <w:tc>
          <w:tcPr>
            <w:tcW w:w="1651" w:type="dxa"/>
          </w:tcPr>
          <w:p w14:paraId="5BBCC7D4" w14:textId="427A378A" w:rsidR="00E0255D" w:rsidRPr="00AB51F7" w:rsidRDefault="00C4385C" w:rsidP="00080D22">
            <w:pPr>
              <w:pStyle w:val="NoSpacing"/>
              <w:spacing w:line="276" w:lineRule="auto"/>
              <w:ind w:right="-108" w:hanging="108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 xml:space="preserve"> </w:t>
            </w:r>
            <w:r w:rsidR="00E0255D" w:rsidRPr="00AB51F7">
              <w:rPr>
                <w:rFonts w:cs="Calibri"/>
                <w:lang w:val="ro-RO"/>
              </w:rPr>
              <w:t>2.6 Tipul de evaluare</w:t>
            </w:r>
          </w:p>
        </w:tc>
        <w:tc>
          <w:tcPr>
            <w:tcW w:w="591" w:type="dxa"/>
          </w:tcPr>
          <w:p w14:paraId="744AFE62" w14:textId="693BE180" w:rsidR="00E0255D" w:rsidRPr="00AB51F7" w:rsidRDefault="000A7066" w:rsidP="000A7066">
            <w:pPr>
              <w:pStyle w:val="NoSpacing"/>
              <w:spacing w:line="276" w:lineRule="auto"/>
              <w:jc w:val="center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E</w:t>
            </w:r>
            <w:r w:rsidR="00B81075" w:rsidRPr="00AB51F7">
              <w:rPr>
                <w:rStyle w:val="FootnoteReference"/>
                <w:rFonts w:cs="Calibri"/>
                <w:lang w:val="ro-RO"/>
              </w:rPr>
              <w:footnoteReference w:id="1"/>
            </w:r>
          </w:p>
        </w:tc>
        <w:tc>
          <w:tcPr>
            <w:tcW w:w="1839" w:type="dxa"/>
          </w:tcPr>
          <w:p w14:paraId="7C0DE4CB" w14:textId="77777777" w:rsidR="00E0255D" w:rsidRPr="00AB51F7" w:rsidRDefault="00E0255D" w:rsidP="00080D22">
            <w:pPr>
              <w:pStyle w:val="NoSpacing"/>
              <w:spacing w:line="276" w:lineRule="auto"/>
              <w:ind w:right="-108" w:hanging="42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2.7 Regimul disciplinei</w:t>
            </w:r>
          </w:p>
        </w:tc>
        <w:tc>
          <w:tcPr>
            <w:tcW w:w="630" w:type="dxa"/>
          </w:tcPr>
          <w:p w14:paraId="3C0F2EDE" w14:textId="677A90C5" w:rsidR="00E0255D" w:rsidRPr="00AB51F7" w:rsidRDefault="00284010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DO</w:t>
            </w:r>
          </w:p>
        </w:tc>
      </w:tr>
    </w:tbl>
    <w:p w14:paraId="7E9DBA76" w14:textId="77777777" w:rsidR="00E0255D" w:rsidRPr="00AB51F7" w:rsidRDefault="00E0255D" w:rsidP="00E0255D">
      <w:pPr>
        <w:rPr>
          <w:rFonts w:ascii="Calibri" w:hAnsi="Calibri" w:cs="Calibri"/>
          <w:sz w:val="20"/>
          <w:szCs w:val="20"/>
        </w:rPr>
      </w:pPr>
    </w:p>
    <w:p w14:paraId="04074F03" w14:textId="2409E91D" w:rsidR="00E0255D" w:rsidRPr="00AB51F7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Timpul total estimat (ore pe semestru al activită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>ilor didactice)</w:t>
      </w:r>
      <w:r w:rsidR="00A80917" w:rsidRPr="00AB51F7">
        <w:rPr>
          <w:rStyle w:val="FootnoteReference"/>
          <w:rFonts w:ascii="Calibri" w:hAnsi="Calibri" w:cs="Calibri"/>
          <w:b/>
        </w:rPr>
        <w:footnoteReference w:id="2"/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63"/>
        <w:gridCol w:w="440"/>
        <w:gridCol w:w="295"/>
        <w:gridCol w:w="1681"/>
        <w:gridCol w:w="440"/>
        <w:gridCol w:w="2312"/>
        <w:gridCol w:w="524"/>
      </w:tblGrid>
      <w:tr w:rsidR="00E0255D" w:rsidRPr="00AB51F7" w14:paraId="5B1575BC" w14:textId="77777777" w:rsidTr="00802D13">
        <w:tc>
          <w:tcPr>
            <w:tcW w:w="3681" w:type="dxa"/>
          </w:tcPr>
          <w:p w14:paraId="276EC93C" w14:textId="7777777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3.1 Număr de ore pe săptămână</w:t>
            </w:r>
          </w:p>
        </w:tc>
        <w:tc>
          <w:tcPr>
            <w:tcW w:w="425" w:type="dxa"/>
          </w:tcPr>
          <w:p w14:paraId="602ABD8A" w14:textId="054238C6" w:rsidR="00E0255D" w:rsidRPr="00AB51F7" w:rsidRDefault="00284010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2</w:t>
            </w:r>
          </w:p>
        </w:tc>
        <w:tc>
          <w:tcPr>
            <w:tcW w:w="1985" w:type="dxa"/>
            <w:gridSpan w:val="2"/>
          </w:tcPr>
          <w:p w14:paraId="62B6408E" w14:textId="7777777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din care: 3.2 curs</w:t>
            </w:r>
          </w:p>
        </w:tc>
        <w:tc>
          <w:tcPr>
            <w:tcW w:w="425" w:type="dxa"/>
          </w:tcPr>
          <w:p w14:paraId="04D7773C" w14:textId="3C28FC06" w:rsidR="00E0255D" w:rsidRPr="00AB51F7" w:rsidRDefault="00284010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1</w:t>
            </w:r>
          </w:p>
        </w:tc>
        <w:tc>
          <w:tcPr>
            <w:tcW w:w="2315" w:type="dxa"/>
          </w:tcPr>
          <w:p w14:paraId="5905DEA2" w14:textId="7777777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3.3 seminar/laborator</w:t>
            </w:r>
          </w:p>
        </w:tc>
        <w:tc>
          <w:tcPr>
            <w:tcW w:w="524" w:type="dxa"/>
          </w:tcPr>
          <w:p w14:paraId="513AE2A3" w14:textId="0B59443B" w:rsidR="00E0255D" w:rsidRPr="00AB51F7" w:rsidRDefault="00284010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1</w:t>
            </w:r>
          </w:p>
        </w:tc>
      </w:tr>
      <w:tr w:rsidR="00E0255D" w:rsidRPr="00AB51F7" w14:paraId="1D8AE468" w14:textId="77777777" w:rsidTr="00802D13">
        <w:tc>
          <w:tcPr>
            <w:tcW w:w="3681" w:type="dxa"/>
          </w:tcPr>
          <w:p w14:paraId="61528410" w14:textId="5D90CB72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3.4 Total ore din planul de învă</w:t>
            </w:r>
            <w:r w:rsidR="00C4385C" w:rsidRPr="00AB51F7">
              <w:rPr>
                <w:rFonts w:cs="Calibri"/>
                <w:lang w:val="ro-RO"/>
              </w:rPr>
              <w:t>ț</w:t>
            </w:r>
            <w:r w:rsidRPr="00AB51F7">
              <w:rPr>
                <w:rFonts w:cs="Calibri"/>
                <w:lang w:val="ro-RO"/>
              </w:rPr>
              <w:t>ământ</w:t>
            </w:r>
          </w:p>
        </w:tc>
        <w:tc>
          <w:tcPr>
            <w:tcW w:w="425" w:type="dxa"/>
          </w:tcPr>
          <w:p w14:paraId="35A140B1" w14:textId="109D5AB2" w:rsidR="00E0255D" w:rsidRPr="00AB51F7" w:rsidRDefault="00284010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24</w:t>
            </w:r>
          </w:p>
        </w:tc>
        <w:tc>
          <w:tcPr>
            <w:tcW w:w="1985" w:type="dxa"/>
            <w:gridSpan w:val="2"/>
          </w:tcPr>
          <w:p w14:paraId="063B88D7" w14:textId="7777777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din care: 3.5 curs</w:t>
            </w:r>
          </w:p>
        </w:tc>
        <w:tc>
          <w:tcPr>
            <w:tcW w:w="425" w:type="dxa"/>
          </w:tcPr>
          <w:p w14:paraId="34FD5EF9" w14:textId="30BCDCCC" w:rsidR="00E0255D" w:rsidRPr="00AB51F7" w:rsidRDefault="00284010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12</w:t>
            </w:r>
          </w:p>
        </w:tc>
        <w:tc>
          <w:tcPr>
            <w:tcW w:w="2315" w:type="dxa"/>
          </w:tcPr>
          <w:p w14:paraId="77313924" w14:textId="7777777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3.6 seminar/laborator</w:t>
            </w:r>
          </w:p>
        </w:tc>
        <w:tc>
          <w:tcPr>
            <w:tcW w:w="524" w:type="dxa"/>
          </w:tcPr>
          <w:p w14:paraId="366A0D3E" w14:textId="4345CEAC" w:rsidR="00E0255D" w:rsidRPr="00AB51F7" w:rsidRDefault="00284010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12</w:t>
            </w:r>
          </w:p>
        </w:tc>
      </w:tr>
      <w:tr w:rsidR="00E0255D" w:rsidRPr="00AB51F7" w14:paraId="6C80A98D" w14:textId="77777777" w:rsidTr="00802D13">
        <w:tc>
          <w:tcPr>
            <w:tcW w:w="8831" w:type="dxa"/>
            <w:gridSpan w:val="6"/>
          </w:tcPr>
          <w:p w14:paraId="74693E4C" w14:textId="3857E14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bCs/>
                <w:lang w:val="ro-RO"/>
              </w:rPr>
            </w:pPr>
            <w:r w:rsidRPr="00AB51F7">
              <w:rPr>
                <w:rFonts w:cs="Calibri"/>
                <w:bCs/>
                <w:lang w:val="ro-RO"/>
              </w:rPr>
              <w:t>Distribu</w:t>
            </w:r>
            <w:r w:rsidR="00C4385C" w:rsidRPr="00AB51F7">
              <w:rPr>
                <w:rFonts w:cs="Calibri"/>
                <w:bCs/>
                <w:lang w:val="ro-RO"/>
              </w:rPr>
              <w:t>ț</w:t>
            </w:r>
            <w:r w:rsidRPr="00AB51F7">
              <w:rPr>
                <w:rFonts w:cs="Calibri"/>
                <w:bCs/>
                <w:lang w:val="ro-RO"/>
              </w:rPr>
              <w:t>ia fondului de timp:</w:t>
            </w:r>
          </w:p>
        </w:tc>
        <w:tc>
          <w:tcPr>
            <w:tcW w:w="524" w:type="dxa"/>
          </w:tcPr>
          <w:p w14:paraId="0487E59F" w14:textId="7777777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bCs/>
                <w:lang w:val="ro-RO"/>
              </w:rPr>
            </w:pPr>
            <w:r w:rsidRPr="00AB51F7">
              <w:rPr>
                <w:rFonts w:cs="Calibri"/>
                <w:bCs/>
                <w:lang w:val="ro-RO"/>
              </w:rPr>
              <w:t>ore</w:t>
            </w:r>
          </w:p>
        </w:tc>
      </w:tr>
      <w:tr w:rsidR="00E0255D" w:rsidRPr="00AB51F7" w14:paraId="347FD4CB" w14:textId="77777777" w:rsidTr="00802D13">
        <w:tc>
          <w:tcPr>
            <w:tcW w:w="8831" w:type="dxa"/>
            <w:gridSpan w:val="6"/>
          </w:tcPr>
          <w:p w14:paraId="1EF5672F" w14:textId="254E03CD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 xml:space="preserve">Studiul după manual, suport de curs, bibliografie </w:t>
            </w:r>
            <w:r w:rsidR="00C4385C" w:rsidRPr="00AB51F7">
              <w:rPr>
                <w:rFonts w:cs="Calibri"/>
                <w:lang w:val="ro-RO"/>
              </w:rPr>
              <w:t>ș</w:t>
            </w:r>
            <w:r w:rsidRPr="00AB51F7">
              <w:rPr>
                <w:rFonts w:cs="Calibri"/>
                <w:lang w:val="ro-RO"/>
              </w:rPr>
              <w:t>i noti</w:t>
            </w:r>
            <w:r w:rsidR="00C4385C" w:rsidRPr="00AB51F7">
              <w:rPr>
                <w:rFonts w:cs="Calibri"/>
                <w:lang w:val="ro-RO"/>
              </w:rPr>
              <w:t>ț</w:t>
            </w:r>
            <w:r w:rsidRPr="00AB51F7">
              <w:rPr>
                <w:rFonts w:cs="Calibri"/>
                <w:lang w:val="ro-RO"/>
              </w:rPr>
              <w:t>e</w:t>
            </w:r>
          </w:p>
        </w:tc>
        <w:tc>
          <w:tcPr>
            <w:tcW w:w="524" w:type="dxa"/>
          </w:tcPr>
          <w:p w14:paraId="47842B59" w14:textId="416CD853" w:rsidR="00E0255D" w:rsidRPr="00AB51F7" w:rsidRDefault="00284010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10</w:t>
            </w:r>
          </w:p>
        </w:tc>
      </w:tr>
      <w:tr w:rsidR="00E0255D" w:rsidRPr="00AB51F7" w14:paraId="7F2626AA" w14:textId="77777777" w:rsidTr="00802D13">
        <w:tc>
          <w:tcPr>
            <w:tcW w:w="8831" w:type="dxa"/>
            <w:gridSpan w:val="6"/>
          </w:tcPr>
          <w:p w14:paraId="271332F5" w14:textId="7777777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524" w:type="dxa"/>
          </w:tcPr>
          <w:p w14:paraId="2696B839" w14:textId="14C18EFC" w:rsidR="00E0255D" w:rsidRPr="00AB51F7" w:rsidRDefault="00284010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20</w:t>
            </w:r>
          </w:p>
        </w:tc>
      </w:tr>
      <w:tr w:rsidR="00E0255D" w:rsidRPr="00AB51F7" w14:paraId="65980EF1" w14:textId="77777777" w:rsidTr="00802D13">
        <w:tc>
          <w:tcPr>
            <w:tcW w:w="8831" w:type="dxa"/>
            <w:gridSpan w:val="6"/>
          </w:tcPr>
          <w:p w14:paraId="75A63E4B" w14:textId="7CBFA162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Pregătire seminar</w:t>
            </w:r>
            <w:r w:rsidR="00C4385C" w:rsidRPr="00AB51F7">
              <w:rPr>
                <w:rFonts w:cs="Calibri"/>
                <w:lang w:val="ro-RO"/>
              </w:rPr>
              <w:t>e</w:t>
            </w:r>
            <w:r w:rsidRPr="00AB51F7">
              <w:rPr>
                <w:rFonts w:cs="Calibri"/>
                <w:lang w:val="ro-RO"/>
              </w:rPr>
              <w:t xml:space="preserve"> / laboratoare, teme, referate, portofolii </w:t>
            </w:r>
            <w:r w:rsidR="00C4385C" w:rsidRPr="00AB51F7">
              <w:rPr>
                <w:rFonts w:cs="Calibri"/>
                <w:lang w:val="ro-RO"/>
              </w:rPr>
              <w:t>ș</w:t>
            </w:r>
            <w:r w:rsidRPr="00AB51F7">
              <w:rPr>
                <w:rFonts w:cs="Calibri"/>
                <w:lang w:val="ro-RO"/>
              </w:rPr>
              <w:t>i eseuri</w:t>
            </w:r>
          </w:p>
        </w:tc>
        <w:tc>
          <w:tcPr>
            <w:tcW w:w="524" w:type="dxa"/>
          </w:tcPr>
          <w:p w14:paraId="05B0AAE0" w14:textId="45895D89" w:rsidR="00E0255D" w:rsidRPr="00AB51F7" w:rsidRDefault="00284010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20</w:t>
            </w:r>
          </w:p>
        </w:tc>
      </w:tr>
      <w:tr w:rsidR="00E0255D" w:rsidRPr="00AB51F7" w14:paraId="595F83C1" w14:textId="77777777" w:rsidTr="00802D13">
        <w:tc>
          <w:tcPr>
            <w:tcW w:w="8831" w:type="dxa"/>
            <w:gridSpan w:val="6"/>
          </w:tcPr>
          <w:p w14:paraId="15821CE7" w14:textId="06F41715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Tutorat</w:t>
            </w:r>
          </w:p>
        </w:tc>
        <w:tc>
          <w:tcPr>
            <w:tcW w:w="524" w:type="dxa"/>
          </w:tcPr>
          <w:p w14:paraId="3B9B8C3B" w14:textId="08E01873" w:rsidR="00E0255D" w:rsidRPr="00AB51F7" w:rsidRDefault="00284010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10</w:t>
            </w:r>
          </w:p>
        </w:tc>
      </w:tr>
      <w:tr w:rsidR="00E0255D" w:rsidRPr="00AB51F7" w14:paraId="513FE437" w14:textId="77777777" w:rsidTr="00802D13">
        <w:tc>
          <w:tcPr>
            <w:tcW w:w="8831" w:type="dxa"/>
            <w:gridSpan w:val="6"/>
          </w:tcPr>
          <w:p w14:paraId="404E7887" w14:textId="1EBAEC31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Examinări</w:t>
            </w:r>
            <w:r w:rsidR="00A80917" w:rsidRPr="00AB51F7">
              <w:rPr>
                <w:rStyle w:val="FootnoteReference"/>
                <w:rFonts w:cs="Calibri"/>
                <w:lang w:val="ro-RO"/>
              </w:rPr>
              <w:footnoteReference w:id="3"/>
            </w:r>
          </w:p>
        </w:tc>
        <w:tc>
          <w:tcPr>
            <w:tcW w:w="524" w:type="dxa"/>
          </w:tcPr>
          <w:p w14:paraId="1D729EB9" w14:textId="4858ACC1" w:rsidR="00E0255D" w:rsidRPr="00AB51F7" w:rsidRDefault="00284010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2</w:t>
            </w:r>
          </w:p>
        </w:tc>
      </w:tr>
      <w:tr w:rsidR="00E0255D" w:rsidRPr="00AB51F7" w14:paraId="27036078" w14:textId="77777777" w:rsidTr="00802D13">
        <w:tc>
          <w:tcPr>
            <w:tcW w:w="8831" w:type="dxa"/>
            <w:gridSpan w:val="6"/>
          </w:tcPr>
          <w:p w14:paraId="1B22F6FD" w14:textId="4AAE2225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Alte activită</w:t>
            </w:r>
            <w:r w:rsidR="00C4385C" w:rsidRPr="00AB51F7">
              <w:rPr>
                <w:rFonts w:cs="Calibri"/>
                <w:lang w:val="ro-RO"/>
              </w:rPr>
              <w:t>ț</w:t>
            </w:r>
            <w:r w:rsidRPr="00AB51F7">
              <w:rPr>
                <w:rFonts w:cs="Calibri"/>
                <w:lang w:val="ro-RO"/>
              </w:rPr>
              <w:t>i</w:t>
            </w:r>
          </w:p>
        </w:tc>
        <w:tc>
          <w:tcPr>
            <w:tcW w:w="524" w:type="dxa"/>
          </w:tcPr>
          <w:p w14:paraId="2769F5B1" w14:textId="45F4B6C7" w:rsidR="00E0255D" w:rsidRPr="00AB51F7" w:rsidRDefault="00284010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20</w:t>
            </w:r>
          </w:p>
        </w:tc>
      </w:tr>
      <w:tr w:rsidR="00E0255D" w:rsidRPr="00AB51F7" w14:paraId="601F6F7A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479894EA" w14:textId="7777777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bCs/>
                <w:lang w:val="ro-RO"/>
              </w:rPr>
            </w:pPr>
            <w:r w:rsidRPr="00AB51F7">
              <w:rPr>
                <w:rFonts w:cs="Calibri"/>
                <w:bCs/>
                <w:lang w:val="ro-RO"/>
              </w:rPr>
              <w:t>3.7 Total ore studiu individual</w:t>
            </w:r>
          </w:p>
        </w:tc>
        <w:tc>
          <w:tcPr>
            <w:tcW w:w="721" w:type="dxa"/>
            <w:gridSpan w:val="2"/>
          </w:tcPr>
          <w:p w14:paraId="4395AD20" w14:textId="2E35893E" w:rsidR="00E0255D" w:rsidRPr="00AB51F7" w:rsidRDefault="00284010" w:rsidP="00080D22">
            <w:pPr>
              <w:pStyle w:val="NoSpacing"/>
              <w:spacing w:line="276" w:lineRule="auto"/>
              <w:rPr>
                <w:rFonts w:cs="Calibri"/>
                <w:b/>
                <w:lang w:val="ro-RO"/>
              </w:rPr>
            </w:pPr>
            <w:r>
              <w:rPr>
                <w:rFonts w:cs="Calibri"/>
                <w:b/>
                <w:lang w:val="ro-RO"/>
              </w:rPr>
              <w:t>80</w:t>
            </w:r>
          </w:p>
        </w:tc>
      </w:tr>
      <w:tr w:rsidR="00E0255D" w:rsidRPr="00AB51F7" w14:paraId="0E0E0360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310486C5" w14:textId="319470E6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bCs/>
                <w:lang w:val="ro-RO"/>
              </w:rPr>
            </w:pPr>
            <w:r w:rsidRPr="00AB51F7">
              <w:rPr>
                <w:rFonts w:cs="Calibri"/>
                <w:bCs/>
                <w:lang w:val="ro-RO"/>
              </w:rPr>
              <w:t>3.8 Total ore pe semestru</w:t>
            </w:r>
            <w:r w:rsidR="00A80917" w:rsidRPr="00AB51F7">
              <w:rPr>
                <w:rStyle w:val="FootnoteReference"/>
                <w:rFonts w:cs="Calibri"/>
                <w:bCs/>
                <w:lang w:val="ro-RO"/>
              </w:rPr>
              <w:footnoteReference w:id="4"/>
            </w:r>
          </w:p>
        </w:tc>
        <w:tc>
          <w:tcPr>
            <w:tcW w:w="721" w:type="dxa"/>
            <w:gridSpan w:val="2"/>
          </w:tcPr>
          <w:p w14:paraId="15B2F92D" w14:textId="2B3498D1" w:rsidR="00E0255D" w:rsidRPr="00AB51F7" w:rsidRDefault="00284010" w:rsidP="00080D22">
            <w:pPr>
              <w:pStyle w:val="NoSpacing"/>
              <w:spacing w:line="276" w:lineRule="auto"/>
              <w:rPr>
                <w:rFonts w:cs="Calibri"/>
                <w:b/>
                <w:lang w:val="ro-RO"/>
              </w:rPr>
            </w:pPr>
            <w:r>
              <w:rPr>
                <w:rFonts w:cs="Calibri"/>
                <w:b/>
                <w:lang w:val="ro-RO"/>
              </w:rPr>
              <w:t>106</w:t>
            </w:r>
          </w:p>
        </w:tc>
      </w:tr>
      <w:tr w:rsidR="00E0255D" w:rsidRPr="00AB51F7" w14:paraId="0543F2FB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4AA42D0D" w14:textId="7777777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bCs/>
                <w:lang w:val="ro-RO"/>
              </w:rPr>
            </w:pPr>
            <w:r w:rsidRPr="00AB51F7">
              <w:rPr>
                <w:rFonts w:cs="Calibri"/>
                <w:bCs/>
                <w:lang w:val="ro-RO"/>
              </w:rPr>
              <w:t>3.9 Numărul de credite</w:t>
            </w:r>
          </w:p>
        </w:tc>
        <w:tc>
          <w:tcPr>
            <w:tcW w:w="721" w:type="dxa"/>
            <w:gridSpan w:val="2"/>
          </w:tcPr>
          <w:p w14:paraId="176127E3" w14:textId="7A9B3AEF" w:rsidR="00E0255D" w:rsidRPr="00AB51F7" w:rsidRDefault="00284010" w:rsidP="00080D22">
            <w:pPr>
              <w:pStyle w:val="NoSpacing"/>
              <w:spacing w:line="276" w:lineRule="auto"/>
              <w:rPr>
                <w:rFonts w:cs="Calibri"/>
                <w:b/>
                <w:lang w:val="ro-RO"/>
              </w:rPr>
            </w:pPr>
            <w:r>
              <w:rPr>
                <w:rFonts w:cs="Calibri"/>
                <w:b/>
                <w:lang w:val="ro-RO"/>
              </w:rPr>
              <w:t>4</w:t>
            </w:r>
          </w:p>
        </w:tc>
      </w:tr>
    </w:tbl>
    <w:p w14:paraId="2AFF86C3" w14:textId="77777777" w:rsidR="00C4385C" w:rsidRPr="00AB51F7" w:rsidRDefault="00C4385C" w:rsidP="00C4385C">
      <w:pPr>
        <w:pStyle w:val="ListParagraph"/>
        <w:spacing w:line="276" w:lineRule="auto"/>
        <w:ind w:left="714"/>
        <w:rPr>
          <w:rFonts w:ascii="Calibri" w:hAnsi="Calibri" w:cs="Calibri"/>
          <w:b/>
          <w:sz w:val="20"/>
          <w:szCs w:val="20"/>
        </w:rPr>
      </w:pPr>
    </w:p>
    <w:p w14:paraId="1ACD2D8D" w14:textId="30F46626" w:rsidR="00E0255D" w:rsidRPr="00AB51F7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Precondi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404"/>
      </w:tblGrid>
      <w:tr w:rsidR="00E0255D" w:rsidRPr="00AB51F7" w14:paraId="3623956B" w14:textId="77777777" w:rsidTr="00E0255D">
        <w:tc>
          <w:tcPr>
            <w:tcW w:w="1985" w:type="dxa"/>
          </w:tcPr>
          <w:p w14:paraId="4C592DB3" w14:textId="7777777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4.1 de curriculum</w:t>
            </w:r>
          </w:p>
        </w:tc>
        <w:tc>
          <w:tcPr>
            <w:tcW w:w="7404" w:type="dxa"/>
          </w:tcPr>
          <w:p w14:paraId="143AFDB4" w14:textId="77777777" w:rsidR="00E0255D" w:rsidRPr="00AB51F7" w:rsidRDefault="00E0255D" w:rsidP="00E0255D">
            <w:pPr>
              <w:pStyle w:val="NoSpacing"/>
              <w:numPr>
                <w:ilvl w:val="0"/>
                <w:numId w:val="28"/>
              </w:numPr>
              <w:spacing w:line="276" w:lineRule="auto"/>
              <w:ind w:hanging="686"/>
              <w:rPr>
                <w:rFonts w:cs="Calibri"/>
                <w:lang w:val="ro-RO"/>
              </w:rPr>
            </w:pPr>
          </w:p>
        </w:tc>
      </w:tr>
      <w:tr w:rsidR="00E0255D" w:rsidRPr="00AB51F7" w14:paraId="0C24B7B9" w14:textId="77777777" w:rsidTr="00E0255D">
        <w:tc>
          <w:tcPr>
            <w:tcW w:w="1985" w:type="dxa"/>
          </w:tcPr>
          <w:p w14:paraId="0E27F819" w14:textId="140AA507" w:rsidR="00E0255D" w:rsidRPr="00AB51F7" w:rsidRDefault="00E0255D" w:rsidP="00080D22">
            <w:pPr>
              <w:pStyle w:val="NoSpacing"/>
              <w:spacing w:line="276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4.2 de competen</w:t>
            </w:r>
            <w:r w:rsidR="00C4385C" w:rsidRPr="00AB51F7">
              <w:rPr>
                <w:rFonts w:cs="Calibri"/>
                <w:lang w:val="ro-RO"/>
              </w:rPr>
              <w:t>ț</w:t>
            </w:r>
            <w:r w:rsidRPr="00AB51F7">
              <w:rPr>
                <w:rFonts w:cs="Calibri"/>
                <w:lang w:val="ro-RO"/>
              </w:rPr>
              <w:t>e</w:t>
            </w:r>
          </w:p>
        </w:tc>
        <w:tc>
          <w:tcPr>
            <w:tcW w:w="7404" w:type="dxa"/>
          </w:tcPr>
          <w:p w14:paraId="2E65A2D6" w14:textId="77777777" w:rsidR="00E0255D" w:rsidRPr="00AB51F7" w:rsidRDefault="00E0255D" w:rsidP="00E0255D">
            <w:pPr>
              <w:pStyle w:val="NoSpacing"/>
              <w:numPr>
                <w:ilvl w:val="0"/>
                <w:numId w:val="28"/>
              </w:numPr>
              <w:spacing w:line="276" w:lineRule="auto"/>
              <w:ind w:hanging="686"/>
              <w:rPr>
                <w:rFonts w:cs="Calibri"/>
                <w:lang w:val="ro-RO"/>
              </w:rPr>
            </w:pPr>
          </w:p>
        </w:tc>
      </w:tr>
    </w:tbl>
    <w:p w14:paraId="778D68D2" w14:textId="77777777" w:rsidR="009073AF" w:rsidRPr="00AB51F7" w:rsidRDefault="009073AF" w:rsidP="00C4385C">
      <w:pPr>
        <w:pStyle w:val="ListParagraph"/>
        <w:spacing w:line="276" w:lineRule="auto"/>
        <w:ind w:left="714"/>
        <w:rPr>
          <w:rFonts w:ascii="Calibri" w:hAnsi="Calibri" w:cs="Calibri"/>
          <w:b/>
          <w:sz w:val="20"/>
          <w:szCs w:val="20"/>
        </w:rPr>
      </w:pPr>
    </w:p>
    <w:p w14:paraId="77A8EEB9" w14:textId="2BBDA049" w:rsidR="00E0255D" w:rsidRPr="00AB51F7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Condi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5"/>
        <w:gridCol w:w="4824"/>
      </w:tblGrid>
      <w:tr w:rsidR="00E0255D" w:rsidRPr="00AB51F7" w14:paraId="2C5D8739" w14:textId="77777777" w:rsidTr="00802D13">
        <w:tc>
          <w:tcPr>
            <w:tcW w:w="4565" w:type="dxa"/>
          </w:tcPr>
          <w:p w14:paraId="26DB2A17" w14:textId="7EFC29E3" w:rsidR="00E0255D" w:rsidRPr="00AB51F7" w:rsidRDefault="00E0255D" w:rsidP="00080D22">
            <w:pPr>
              <w:pStyle w:val="NoSpacing"/>
              <w:spacing w:line="360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5.1 de desfă</w:t>
            </w:r>
            <w:r w:rsidR="00C4385C" w:rsidRPr="00AB51F7">
              <w:rPr>
                <w:rFonts w:cs="Calibri"/>
                <w:lang w:val="ro-RO"/>
              </w:rPr>
              <w:t>ș</w:t>
            </w:r>
            <w:r w:rsidRPr="00AB51F7">
              <w:rPr>
                <w:rFonts w:cs="Calibri"/>
                <w:lang w:val="ro-RO"/>
              </w:rPr>
              <w:t xml:space="preserve">urare a </w:t>
            </w:r>
            <w:r w:rsidR="00802D13" w:rsidRPr="00AB51F7">
              <w:rPr>
                <w:rFonts w:cs="Calibri"/>
                <w:lang w:val="ro-RO"/>
              </w:rPr>
              <w:t>cursului</w:t>
            </w:r>
          </w:p>
        </w:tc>
        <w:tc>
          <w:tcPr>
            <w:tcW w:w="4824" w:type="dxa"/>
          </w:tcPr>
          <w:p w14:paraId="6ADFF241" w14:textId="3177C442" w:rsidR="00E0255D" w:rsidRPr="00AB51F7" w:rsidRDefault="00E0255D" w:rsidP="00E0255D">
            <w:pPr>
              <w:pStyle w:val="NoSpacing"/>
              <w:numPr>
                <w:ilvl w:val="0"/>
                <w:numId w:val="28"/>
              </w:numPr>
              <w:spacing w:line="360" w:lineRule="auto"/>
              <w:ind w:hanging="686"/>
              <w:rPr>
                <w:rFonts w:cs="Calibri"/>
                <w:lang w:val="ro-RO"/>
              </w:rPr>
            </w:pPr>
          </w:p>
        </w:tc>
      </w:tr>
      <w:tr w:rsidR="00802D13" w:rsidRPr="00AB51F7" w14:paraId="12F774A5" w14:textId="77777777" w:rsidTr="00802D13">
        <w:tc>
          <w:tcPr>
            <w:tcW w:w="4565" w:type="dxa"/>
          </w:tcPr>
          <w:p w14:paraId="7D3A976E" w14:textId="094647EB" w:rsidR="00802D13" w:rsidRPr="00AB51F7" w:rsidRDefault="00802D13" w:rsidP="00802D13">
            <w:pPr>
              <w:pStyle w:val="NoSpacing"/>
              <w:spacing w:line="360" w:lineRule="auto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5.2 de desfășurare a seminarului / laboratorului</w:t>
            </w:r>
          </w:p>
        </w:tc>
        <w:tc>
          <w:tcPr>
            <w:tcW w:w="4824" w:type="dxa"/>
          </w:tcPr>
          <w:p w14:paraId="4BD0591C" w14:textId="77777777" w:rsidR="00802D13" w:rsidRPr="00AB51F7" w:rsidRDefault="00802D13" w:rsidP="00802D13">
            <w:pPr>
              <w:pStyle w:val="NoSpacing"/>
              <w:numPr>
                <w:ilvl w:val="0"/>
                <w:numId w:val="28"/>
              </w:numPr>
              <w:spacing w:line="360" w:lineRule="auto"/>
              <w:ind w:hanging="686"/>
              <w:rPr>
                <w:rFonts w:cs="Calibri"/>
                <w:lang w:val="ro-RO"/>
              </w:rPr>
            </w:pPr>
          </w:p>
        </w:tc>
      </w:tr>
    </w:tbl>
    <w:p w14:paraId="7FA3D1A2" w14:textId="77777777" w:rsidR="00802D13" w:rsidRPr="00AB51F7" w:rsidRDefault="00802D13" w:rsidP="00802D13">
      <w:pPr>
        <w:spacing w:line="276" w:lineRule="auto"/>
        <w:rPr>
          <w:rFonts w:ascii="Calibri" w:hAnsi="Calibri" w:cs="Calibri"/>
          <w:b/>
          <w:sz w:val="20"/>
          <w:szCs w:val="20"/>
        </w:rPr>
      </w:pPr>
    </w:p>
    <w:p w14:paraId="3E28F80F" w14:textId="6466CB5E" w:rsidR="00E0255D" w:rsidRPr="00AB51F7" w:rsidRDefault="00C94D71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Obiectivele disciplinei - rezultate așteptate ale învățării la formarea cărora contribuie parcurgerea și promovarea disciplinei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7690"/>
      </w:tblGrid>
      <w:tr w:rsidR="00284010" w:rsidRPr="00AB51F7" w14:paraId="76694619" w14:textId="77777777" w:rsidTr="00284010">
        <w:trPr>
          <w:cantSplit/>
          <w:trHeight w:val="890"/>
        </w:trPr>
        <w:tc>
          <w:tcPr>
            <w:tcW w:w="1699" w:type="dxa"/>
            <w:vAlign w:val="center"/>
          </w:tcPr>
          <w:p w14:paraId="44C132C9" w14:textId="30F06B5E" w:rsidR="00284010" w:rsidRPr="00AB51F7" w:rsidRDefault="00284010" w:rsidP="00284010">
            <w:pPr>
              <w:pStyle w:val="NoSpacing"/>
              <w:jc w:val="center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Cunoștințe</w:t>
            </w:r>
          </w:p>
        </w:tc>
        <w:tc>
          <w:tcPr>
            <w:tcW w:w="7690" w:type="dxa"/>
          </w:tcPr>
          <w:p w14:paraId="59A4D6FC" w14:textId="77777777" w:rsidR="00284010" w:rsidRPr="00F927B7" w:rsidRDefault="00284010" w:rsidP="00284010">
            <w:pPr>
              <w:spacing w:after="58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27B7">
              <w:rPr>
                <w:rFonts w:asciiTheme="minorHAnsi" w:hAnsiTheme="minorHAnsi" w:cstheme="minorHAnsi"/>
                <w:b/>
                <w:sz w:val="18"/>
                <w:szCs w:val="18"/>
              </w:rPr>
              <w:t>Competen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ț</w:t>
            </w:r>
            <w:r w:rsidRPr="00F927B7">
              <w:rPr>
                <w:rFonts w:asciiTheme="minorHAnsi" w:hAnsiTheme="minorHAnsi" w:cstheme="minorHAnsi"/>
                <w:b/>
                <w:sz w:val="18"/>
                <w:szCs w:val="18"/>
              </w:rPr>
              <w:t>e în administrarea resurselor umane</w:t>
            </w:r>
          </w:p>
          <w:p w14:paraId="65D57ECC" w14:textId="77777777" w:rsidR="00B850CE" w:rsidRPr="001E3E32" w:rsidRDefault="00284010" w:rsidP="00B850CE">
            <w:pPr>
              <w:pStyle w:val="NoSpacing"/>
              <w:numPr>
                <w:ilvl w:val="0"/>
                <w:numId w:val="31"/>
              </w:numPr>
              <w:rPr>
                <w:rFonts w:cs="Calibri"/>
                <w:color w:val="000000"/>
                <w:sz w:val="20"/>
                <w:szCs w:val="20"/>
                <w:lang w:val="pt-PT"/>
              </w:rPr>
            </w:pPr>
            <w:r w:rsidRPr="00F927B7">
              <w:rPr>
                <w:sz w:val="18"/>
                <w:szCs w:val="18"/>
                <w:lang w:val="ro-RO"/>
              </w:rPr>
              <w:t>Asimilarea cuno</w:t>
            </w:r>
            <w:r>
              <w:rPr>
                <w:sz w:val="18"/>
                <w:szCs w:val="18"/>
                <w:lang w:val="ro-RO"/>
              </w:rPr>
              <w:t>ș</w:t>
            </w:r>
            <w:r w:rsidRPr="00F927B7">
              <w:rPr>
                <w:sz w:val="18"/>
                <w:szCs w:val="18"/>
                <w:lang w:val="ro-RO"/>
              </w:rPr>
              <w:t>tin</w:t>
            </w:r>
            <w:r>
              <w:rPr>
                <w:sz w:val="18"/>
                <w:szCs w:val="18"/>
                <w:lang w:val="ro-RO"/>
              </w:rPr>
              <w:t>ț</w:t>
            </w:r>
            <w:r w:rsidRPr="00F927B7">
              <w:rPr>
                <w:sz w:val="18"/>
                <w:szCs w:val="18"/>
                <w:lang w:val="ro-RO"/>
              </w:rPr>
              <w:t xml:space="preserve">elor referitoare la administrarea resurselor umane, utilizarea instrumentelor analitice, dezvoltarea politicilor de HR, procesarea datelor </w:t>
            </w:r>
            <w:r>
              <w:rPr>
                <w:sz w:val="18"/>
                <w:szCs w:val="18"/>
                <w:lang w:val="ro-RO"/>
              </w:rPr>
              <w:t>ș</w:t>
            </w:r>
            <w:r w:rsidRPr="00F927B7">
              <w:rPr>
                <w:sz w:val="18"/>
                <w:szCs w:val="18"/>
                <w:lang w:val="ro-RO"/>
              </w:rPr>
              <w:t xml:space="preserve">i participarea la studii salariale. </w:t>
            </w:r>
          </w:p>
          <w:p w14:paraId="0CCAADFD" w14:textId="324D9839" w:rsidR="00284010" w:rsidRPr="001E3E32" w:rsidRDefault="00284010" w:rsidP="00B850CE">
            <w:pPr>
              <w:pStyle w:val="NoSpacing"/>
              <w:numPr>
                <w:ilvl w:val="0"/>
                <w:numId w:val="31"/>
              </w:numPr>
              <w:rPr>
                <w:rFonts w:cs="Calibri"/>
                <w:color w:val="000000"/>
                <w:sz w:val="20"/>
                <w:szCs w:val="20"/>
                <w:lang w:val="pt-PT"/>
              </w:rPr>
            </w:pPr>
            <w:r w:rsidRPr="001E3E32">
              <w:rPr>
                <w:bCs/>
                <w:sz w:val="18"/>
                <w:szCs w:val="18"/>
                <w:lang w:val="pt-PT"/>
              </w:rPr>
              <w:t>Cunoașterea reglementarilor legale în domeniul muncii si dobândirea abilităților practice de redactare a unui contract individual de muncă și utilizarea instrumentelor analitice in administrarea datelor angajaților</w:t>
            </w:r>
          </w:p>
        </w:tc>
      </w:tr>
      <w:tr w:rsidR="00284010" w:rsidRPr="00AB51F7" w14:paraId="5C767D8B" w14:textId="77777777" w:rsidTr="00284010">
        <w:trPr>
          <w:cantSplit/>
          <w:trHeight w:val="831"/>
        </w:trPr>
        <w:tc>
          <w:tcPr>
            <w:tcW w:w="1699" w:type="dxa"/>
            <w:vAlign w:val="center"/>
          </w:tcPr>
          <w:p w14:paraId="3FB3257E" w14:textId="3557E77D" w:rsidR="00284010" w:rsidRPr="00AB51F7" w:rsidRDefault="00284010" w:rsidP="00284010">
            <w:pPr>
              <w:pStyle w:val="NoSpacing"/>
              <w:jc w:val="center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Abilități</w:t>
            </w:r>
          </w:p>
        </w:tc>
        <w:tc>
          <w:tcPr>
            <w:tcW w:w="7690" w:type="dxa"/>
          </w:tcPr>
          <w:p w14:paraId="13E28A6F" w14:textId="77777777" w:rsidR="00284010" w:rsidRPr="00F927B7" w:rsidRDefault="00284010" w:rsidP="00284010">
            <w:pPr>
              <w:pStyle w:val="NoSpacing"/>
              <w:numPr>
                <w:ilvl w:val="0"/>
                <w:numId w:val="32"/>
              </w:numPr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Să poată explica si interpreta corect principalele reglementări în domeniul rela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ț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iilor de muncă din România </w:t>
            </w:r>
          </w:p>
          <w:p w14:paraId="74E57E04" w14:textId="77777777" w:rsidR="00284010" w:rsidRPr="00F927B7" w:rsidRDefault="00284010" w:rsidP="00284010">
            <w:pPr>
              <w:pStyle w:val="NoSpacing"/>
              <w:numPr>
                <w:ilvl w:val="0"/>
                <w:numId w:val="32"/>
              </w:numPr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sa explice natura rela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ț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iilor cauzale si sa le interpreteze corect in context organiza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ț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ional</w:t>
            </w:r>
          </w:p>
          <w:p w14:paraId="417650D1" w14:textId="23205A6A" w:rsidR="00284010" w:rsidRPr="00AB51F7" w:rsidRDefault="00284010" w:rsidP="00284010">
            <w:pPr>
              <w:ind w:left="720"/>
              <w:rPr>
                <w:rFonts w:ascii="Calibri" w:hAnsi="Calibri" w:cs="Calibri"/>
                <w:sz w:val="20"/>
                <w:szCs w:val="20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</w:rPr>
              <w:t>abilită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ț</w:t>
            </w:r>
            <w:r w:rsidRPr="00F927B7">
              <w:rPr>
                <w:rFonts w:asciiTheme="minorHAnsi" w:hAnsiTheme="minorHAnsi" w:cstheme="minorHAnsi"/>
                <w:sz w:val="18"/>
                <w:szCs w:val="18"/>
              </w:rPr>
              <w:t>i de analiză critică a informa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ț</w:t>
            </w:r>
            <w:r w:rsidRPr="00F927B7">
              <w:rPr>
                <w:rFonts w:asciiTheme="minorHAnsi" w:hAnsiTheme="minorHAnsi" w:cstheme="minorHAnsi"/>
                <w:sz w:val="18"/>
                <w:szCs w:val="18"/>
              </w:rPr>
              <w:t>iilor de specialitate</w:t>
            </w:r>
          </w:p>
        </w:tc>
      </w:tr>
      <w:tr w:rsidR="00284010" w:rsidRPr="00AB51F7" w14:paraId="71758DDA" w14:textId="77777777" w:rsidTr="00284010">
        <w:trPr>
          <w:cantSplit/>
          <w:trHeight w:val="984"/>
        </w:trPr>
        <w:tc>
          <w:tcPr>
            <w:tcW w:w="1699" w:type="dxa"/>
            <w:vAlign w:val="center"/>
          </w:tcPr>
          <w:p w14:paraId="5F0C5E8F" w14:textId="26E93F51" w:rsidR="00284010" w:rsidRPr="00AB51F7" w:rsidRDefault="00284010" w:rsidP="00284010">
            <w:pPr>
              <w:pStyle w:val="NoSpacing"/>
              <w:jc w:val="center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Responsabilitate și autonomie</w:t>
            </w:r>
          </w:p>
        </w:tc>
        <w:tc>
          <w:tcPr>
            <w:tcW w:w="7690" w:type="dxa"/>
          </w:tcPr>
          <w:p w14:paraId="2B394AD5" w14:textId="77777777" w:rsidR="00284010" w:rsidRPr="00F927B7" w:rsidRDefault="00284010" w:rsidP="00284010">
            <w:pPr>
              <w:pStyle w:val="NoSpacing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Cultivarea interesului pentru domeniul managementului capitalului uman</w:t>
            </w:r>
          </w:p>
          <w:p w14:paraId="4FF89B4E" w14:textId="77777777" w:rsidR="00284010" w:rsidRPr="00F927B7" w:rsidRDefault="00284010" w:rsidP="00284010">
            <w:pPr>
              <w:pStyle w:val="NoSpacing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Cultivarea unui spirit universitar bazat 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ș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i pe studiul individual</w:t>
            </w:r>
          </w:p>
          <w:p w14:paraId="0F6AD595" w14:textId="77777777" w:rsidR="00284010" w:rsidRPr="00F927B7" w:rsidRDefault="00284010" w:rsidP="00284010">
            <w:pPr>
              <w:pStyle w:val="NoSpacing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Autonomie 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ș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i responsabilitate profesională, rezolvarea de probleme 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ș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i luarea deciziilor (dezvoltare personală) </w:t>
            </w:r>
          </w:p>
          <w:p w14:paraId="75C9542D" w14:textId="10906B3B" w:rsidR="00284010" w:rsidRPr="00AB51F7" w:rsidRDefault="00284010" w:rsidP="00284010">
            <w:pPr>
              <w:ind w:left="720"/>
              <w:rPr>
                <w:rFonts w:ascii="Calibri" w:hAnsi="Calibri" w:cs="Calibri"/>
                <w:sz w:val="20"/>
                <w:szCs w:val="20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</w:rPr>
              <w:t xml:space="preserve">Respectarea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ș</w:t>
            </w:r>
            <w:r w:rsidRPr="00F927B7">
              <w:rPr>
                <w:rFonts w:asciiTheme="minorHAnsi" w:hAnsiTheme="minorHAnsi" w:cstheme="minorHAnsi"/>
                <w:sz w:val="18"/>
                <w:szCs w:val="18"/>
              </w:rPr>
              <w:t xml:space="preserve">i dezvoltarea valorilor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ș</w:t>
            </w:r>
            <w:r w:rsidRPr="00F927B7">
              <w:rPr>
                <w:rFonts w:asciiTheme="minorHAnsi" w:hAnsiTheme="minorHAnsi" w:cstheme="minorHAnsi"/>
                <w:sz w:val="18"/>
                <w:szCs w:val="18"/>
              </w:rPr>
              <w:t>i a eticii profesionale</w:t>
            </w:r>
          </w:p>
        </w:tc>
      </w:tr>
    </w:tbl>
    <w:p w14:paraId="50140982" w14:textId="77777777" w:rsidR="00C4385C" w:rsidRPr="00AB51F7" w:rsidRDefault="00C4385C" w:rsidP="002644F8">
      <w:pPr>
        <w:spacing w:line="276" w:lineRule="auto"/>
        <w:rPr>
          <w:rFonts w:ascii="Calibri" w:hAnsi="Calibri" w:cs="Calibri"/>
          <w:b/>
          <w:sz w:val="20"/>
          <w:szCs w:val="20"/>
        </w:rPr>
      </w:pPr>
    </w:p>
    <w:p w14:paraId="63A74C04" w14:textId="6D386162" w:rsidR="00E0255D" w:rsidRPr="00AB51F7" w:rsidRDefault="00E0255D" w:rsidP="00752E1C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Con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>inuturi</w:t>
      </w:r>
    </w:p>
    <w:p w14:paraId="4F6054A8" w14:textId="6BAA0E4E" w:rsidR="00AB51F7" w:rsidRPr="00B850CE" w:rsidRDefault="00AB51F7" w:rsidP="00AB51F7">
      <w:pPr>
        <w:spacing w:line="276" w:lineRule="auto"/>
        <w:ind w:left="714"/>
        <w:jc w:val="both"/>
        <w:rPr>
          <w:rFonts w:ascii="Calibri" w:hAnsi="Calibri" w:cs="Calibri"/>
          <w:b/>
          <w:sz w:val="22"/>
          <w:szCs w:val="22"/>
        </w:rPr>
      </w:pPr>
      <w:r w:rsidRPr="00AB51F7">
        <w:rPr>
          <w:rFonts w:ascii="Calibri" w:hAnsi="Calibri" w:cs="Calibri"/>
          <w:bCs/>
          <w:sz w:val="22"/>
          <w:szCs w:val="22"/>
        </w:rPr>
        <w:t xml:space="preserve">Platforma prin care pot fi accesate suportul de curs în format electronic și alte resurse de învățare/bibliografice: </w:t>
      </w:r>
      <w:hyperlink r:id="rId8" w:history="1">
        <w:r w:rsidR="00B850CE" w:rsidRPr="00170C0B">
          <w:rPr>
            <w:rStyle w:val="Hyperlink"/>
            <w:rFonts w:ascii="Calibri" w:hAnsi="Calibri" w:cs="Calibri"/>
            <w:bCs/>
            <w:sz w:val="22"/>
            <w:szCs w:val="22"/>
          </w:rPr>
          <w:t>https://classroom.google.com/c/NzkzNTQwNzM3OTA3</w:t>
        </w:r>
      </w:hyperlink>
      <w:r w:rsidR="00B850CE">
        <w:rPr>
          <w:rFonts w:ascii="Calibri" w:hAnsi="Calibri" w:cs="Calibri"/>
          <w:bCs/>
          <w:sz w:val="22"/>
          <w:szCs w:val="22"/>
        </w:rPr>
        <w:t xml:space="preserve"> cod </w:t>
      </w:r>
      <w:r w:rsidR="00B850CE" w:rsidRPr="00B850CE">
        <w:rPr>
          <w:rFonts w:ascii="Calibri" w:hAnsi="Calibri" w:cs="Calibri"/>
          <w:b/>
          <w:color w:val="EE0000"/>
          <w:sz w:val="22"/>
          <w:szCs w:val="22"/>
        </w:rPr>
        <w:t>qs6zq7ae</w:t>
      </w:r>
    </w:p>
    <w:p w14:paraId="7C7CF009" w14:textId="77777777" w:rsidR="00AB51F7" w:rsidRPr="00AB51F7" w:rsidRDefault="00AB51F7" w:rsidP="00AB51F7">
      <w:pPr>
        <w:spacing w:line="276" w:lineRule="auto"/>
        <w:ind w:left="714"/>
        <w:jc w:val="both"/>
        <w:rPr>
          <w:rFonts w:ascii="Calibri" w:hAnsi="Calibri" w:cs="Calibri"/>
          <w:bCs/>
          <w:sz w:val="20"/>
          <w:szCs w:val="20"/>
        </w:rPr>
      </w:pPr>
    </w:p>
    <w:tbl>
      <w:tblPr>
        <w:tblW w:w="10348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8"/>
        <w:gridCol w:w="1134"/>
        <w:gridCol w:w="4536"/>
      </w:tblGrid>
      <w:tr w:rsidR="00802D13" w:rsidRPr="00AB51F7" w14:paraId="65C2680D" w14:textId="77777777" w:rsidTr="00075093">
        <w:trPr>
          <w:trHeight w:val="794"/>
          <w:tblHeader/>
        </w:trPr>
        <w:tc>
          <w:tcPr>
            <w:tcW w:w="4678" w:type="dxa"/>
          </w:tcPr>
          <w:p w14:paraId="460E7C72" w14:textId="331022F4" w:rsidR="00802D13" w:rsidRPr="00AB51F7" w:rsidRDefault="00B66D4A" w:rsidP="00752E1C">
            <w:pPr>
              <w:rPr>
                <w:rFonts w:ascii="Calibri" w:hAnsi="Calibri" w:cs="Calibri"/>
                <w:sz w:val="22"/>
                <w:szCs w:val="22"/>
              </w:rPr>
            </w:pPr>
            <w:r w:rsidRPr="00AB51F7">
              <w:rPr>
                <w:rFonts w:ascii="Calibri" w:hAnsi="Calibri" w:cs="Calibri"/>
                <w:sz w:val="22"/>
                <w:szCs w:val="22"/>
              </w:rPr>
              <w:t>7</w:t>
            </w:r>
            <w:r w:rsidR="00802D13" w:rsidRPr="00AB51F7">
              <w:rPr>
                <w:rFonts w:ascii="Calibri" w:hAnsi="Calibri" w:cs="Calibri"/>
                <w:sz w:val="22"/>
                <w:szCs w:val="22"/>
              </w:rPr>
              <w:t>.1 Curs</w:t>
            </w:r>
          </w:p>
        </w:tc>
        <w:tc>
          <w:tcPr>
            <w:tcW w:w="1134" w:type="dxa"/>
          </w:tcPr>
          <w:p w14:paraId="34C90944" w14:textId="026D1C96" w:rsidR="00802D13" w:rsidRPr="00AB51F7" w:rsidRDefault="00802D13" w:rsidP="00752E1C">
            <w:pPr>
              <w:rPr>
                <w:rFonts w:ascii="Calibri" w:hAnsi="Calibri" w:cs="Calibri"/>
                <w:sz w:val="22"/>
                <w:szCs w:val="22"/>
              </w:rPr>
            </w:pPr>
            <w:r w:rsidRPr="00AB51F7">
              <w:rPr>
                <w:rFonts w:ascii="Calibri" w:hAnsi="Calibri" w:cs="Calibri"/>
                <w:sz w:val="22"/>
                <w:szCs w:val="22"/>
              </w:rPr>
              <w:t>Metode de predare</w:t>
            </w:r>
          </w:p>
        </w:tc>
        <w:tc>
          <w:tcPr>
            <w:tcW w:w="4536" w:type="dxa"/>
          </w:tcPr>
          <w:p w14:paraId="241C1E48" w14:textId="6EDECD3B" w:rsidR="00802D13" w:rsidRPr="00AB51F7" w:rsidRDefault="00802D13" w:rsidP="00752E1C">
            <w:pPr>
              <w:rPr>
                <w:rFonts w:ascii="Calibri" w:hAnsi="Calibri" w:cs="Calibri"/>
                <w:sz w:val="22"/>
                <w:szCs w:val="22"/>
              </w:rPr>
            </w:pPr>
            <w:r w:rsidRPr="00AB51F7">
              <w:rPr>
                <w:rFonts w:ascii="Calibri" w:hAnsi="Calibri" w:cs="Calibri"/>
                <w:sz w:val="22"/>
                <w:szCs w:val="22"/>
              </w:rPr>
              <w:t>Observații</w:t>
            </w:r>
          </w:p>
        </w:tc>
      </w:tr>
      <w:tr w:rsidR="001D7686" w:rsidRPr="00AB51F7" w14:paraId="668108F7" w14:textId="77777777" w:rsidTr="006B5128">
        <w:trPr>
          <w:trHeight w:val="794"/>
        </w:trPr>
        <w:tc>
          <w:tcPr>
            <w:tcW w:w="4678" w:type="dxa"/>
          </w:tcPr>
          <w:p w14:paraId="09AC019F" w14:textId="77777777" w:rsidR="001D7686" w:rsidRPr="00F927B7" w:rsidRDefault="001D7686" w:rsidP="001D7686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</w:pPr>
            <w:r w:rsidRPr="00F927B7"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  <w:t>1. Introducere</w:t>
            </w:r>
          </w:p>
          <w:p w14:paraId="26C6ECA2" w14:textId="3A697FEA" w:rsidR="001D7686" w:rsidRPr="00F927B7" w:rsidRDefault="001D7686" w:rsidP="001D7686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27B7">
              <w:rPr>
                <w:rFonts w:asciiTheme="minorHAnsi" w:hAnsiTheme="minorHAnsi" w:cstheme="minorHAnsi"/>
                <w:b/>
                <w:sz w:val="18"/>
                <w:szCs w:val="18"/>
              </w:rPr>
              <w:t>Managementul resurselor umane in 2025 –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2026</w:t>
            </w:r>
            <w:r w:rsidRPr="00F927B7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tendințe si priorități in HR </w:t>
            </w:r>
          </w:p>
          <w:p w14:paraId="3870BB59" w14:textId="77777777" w:rsidR="001D7686" w:rsidRPr="00F927B7" w:rsidRDefault="001D7686" w:rsidP="001D7686">
            <w:pPr>
              <w:pStyle w:val="ListParagraph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</w:rPr>
              <w:t xml:space="preserve">Tendințe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î</w:t>
            </w:r>
            <w:r w:rsidRPr="00F927B7">
              <w:rPr>
                <w:rFonts w:asciiTheme="minorHAnsi" w:hAnsiTheme="minorHAnsi" w:cstheme="minorHAnsi"/>
                <w:sz w:val="18"/>
                <w:szCs w:val="18"/>
              </w:rPr>
              <w:t xml:space="preserve">n HR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î</w:t>
            </w:r>
            <w:r w:rsidRPr="00F927B7">
              <w:rPr>
                <w:rFonts w:asciiTheme="minorHAnsi" w:hAnsiTheme="minorHAnsi" w:cstheme="minorHAnsi"/>
                <w:sz w:val="18"/>
                <w:szCs w:val="18"/>
              </w:rPr>
              <w:t xml:space="preserve">n general </w:t>
            </w:r>
          </w:p>
          <w:p w14:paraId="57D01D86" w14:textId="77777777" w:rsidR="001D7686" w:rsidRPr="00F927B7" w:rsidRDefault="001D7686" w:rsidP="001D7686">
            <w:pPr>
              <w:pStyle w:val="ListParagraph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</w:rPr>
              <w:t xml:space="preserve">Tendințe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î</w:t>
            </w:r>
            <w:r w:rsidRPr="00F927B7">
              <w:rPr>
                <w:rFonts w:asciiTheme="minorHAnsi" w:hAnsiTheme="minorHAnsi" w:cstheme="minorHAnsi"/>
                <w:sz w:val="18"/>
                <w:szCs w:val="18"/>
              </w:rPr>
              <w:t xml:space="preserve">n TA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ș</w:t>
            </w:r>
            <w:r w:rsidRPr="00F927B7">
              <w:rPr>
                <w:rFonts w:asciiTheme="minorHAnsi" w:hAnsiTheme="minorHAnsi" w:cstheme="minorHAnsi"/>
                <w:sz w:val="18"/>
                <w:szCs w:val="18"/>
              </w:rPr>
              <w:t>i recrutare</w:t>
            </w:r>
          </w:p>
          <w:p w14:paraId="66096F80" w14:textId="77777777" w:rsidR="001D7686" w:rsidRPr="00F927B7" w:rsidRDefault="001D7686" w:rsidP="001D7686">
            <w:pPr>
              <w:pStyle w:val="ListParagraph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</w:rPr>
              <w:t xml:space="preserve">Tendințe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î</w:t>
            </w:r>
            <w:r w:rsidRPr="00F927B7">
              <w:rPr>
                <w:rFonts w:asciiTheme="minorHAnsi" w:hAnsiTheme="minorHAnsi" w:cstheme="minorHAnsi"/>
                <w:sz w:val="18"/>
                <w:szCs w:val="18"/>
              </w:rPr>
              <w:t>n domeniul beneficiilor</w:t>
            </w:r>
          </w:p>
          <w:p w14:paraId="130768D4" w14:textId="77777777" w:rsidR="001D7686" w:rsidRPr="00F927B7" w:rsidRDefault="001D7686" w:rsidP="001D7686">
            <w:pPr>
              <w:pStyle w:val="ListParagraph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</w:rPr>
              <w:t xml:space="preserve">Tendințe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î</w:t>
            </w:r>
            <w:r w:rsidRPr="00F927B7">
              <w:rPr>
                <w:rFonts w:asciiTheme="minorHAnsi" w:hAnsiTheme="minorHAnsi" w:cstheme="minorHAnsi"/>
                <w:sz w:val="18"/>
                <w:szCs w:val="18"/>
              </w:rPr>
              <w:t xml:space="preserve">n domeniul compensării : </w:t>
            </w:r>
            <w:proofErr w:type="spellStart"/>
            <w:r w:rsidRPr="00F927B7">
              <w:rPr>
                <w:rFonts w:asciiTheme="minorHAnsi" w:hAnsiTheme="minorHAnsi" w:cstheme="minorHAnsi"/>
                <w:sz w:val="18"/>
                <w:szCs w:val="18"/>
              </w:rPr>
              <w:t>pay</w:t>
            </w:r>
            <w:proofErr w:type="spellEnd"/>
            <w:r w:rsidRPr="00F927B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F927B7">
              <w:rPr>
                <w:rFonts w:asciiTheme="minorHAnsi" w:hAnsiTheme="minorHAnsi" w:cstheme="minorHAnsi"/>
                <w:sz w:val="18"/>
                <w:szCs w:val="18"/>
              </w:rPr>
              <w:t>equity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927B7">
              <w:rPr>
                <w:rFonts w:asciiTheme="minorHAnsi" w:hAnsiTheme="minorHAnsi" w:cstheme="minorHAnsi"/>
                <w:sz w:val="18"/>
                <w:szCs w:val="18"/>
              </w:rPr>
              <w:t>&amp;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F927B7">
              <w:rPr>
                <w:rFonts w:asciiTheme="minorHAnsi" w:hAnsiTheme="minorHAnsi" w:cstheme="minorHAnsi"/>
                <w:sz w:val="18"/>
                <w:szCs w:val="18"/>
              </w:rPr>
              <w:t>transparency</w:t>
            </w:r>
            <w:proofErr w:type="spellEnd"/>
          </w:p>
          <w:p w14:paraId="7ABBE449" w14:textId="77777777" w:rsidR="001D7686" w:rsidRPr="00AB51F7" w:rsidRDefault="001D7686" w:rsidP="001D768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531B178" w14:textId="1E4D5300" w:rsidR="001D7686" w:rsidRPr="00AB51F7" w:rsidRDefault="001D7686" w:rsidP="001D7686">
            <w:pPr>
              <w:rPr>
                <w:rFonts w:ascii="Calibri" w:hAnsi="Calibri" w:cs="Calibri"/>
                <w:sz w:val="22"/>
                <w:szCs w:val="22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</w:rPr>
              <w:t>Prelegere</w:t>
            </w:r>
          </w:p>
        </w:tc>
        <w:tc>
          <w:tcPr>
            <w:tcW w:w="4536" w:type="dxa"/>
          </w:tcPr>
          <w:p w14:paraId="1775F381" w14:textId="77777777" w:rsidR="001D7686" w:rsidRPr="00F927B7" w:rsidRDefault="001D7686" w:rsidP="001D7686">
            <w:pPr>
              <w:pStyle w:val="NoSpacing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Este prezentat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ă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 sintetic situația curent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ă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 a priorităților HR precum 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ș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i tendin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ț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ele principale din HR 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în ultimii ani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.</w:t>
            </w:r>
          </w:p>
          <w:p w14:paraId="230B60CD" w14:textId="77777777" w:rsidR="001D7686" w:rsidRPr="00F927B7" w:rsidRDefault="001D7686" w:rsidP="001D7686">
            <w:pPr>
              <w:pStyle w:val="NoSpacing"/>
              <w:rPr>
                <w:rFonts w:asciiTheme="minorHAnsi" w:hAnsiTheme="minorHAnsi" w:cstheme="minorHAnsi"/>
                <w:bCs/>
                <w:i/>
                <w:color w:val="800000"/>
                <w:sz w:val="16"/>
                <w:szCs w:val="16"/>
                <w:lang w:val="ro-RO"/>
              </w:rPr>
            </w:pPr>
            <w:r w:rsidRPr="00F927B7">
              <w:rPr>
                <w:rFonts w:asciiTheme="minorHAnsi" w:hAnsiTheme="minorHAnsi" w:cstheme="minorHAnsi"/>
                <w:b/>
                <w:bCs/>
                <w:i/>
                <w:color w:val="800000"/>
                <w:sz w:val="18"/>
                <w:szCs w:val="18"/>
                <w:lang w:val="ro-RO"/>
              </w:rPr>
              <w:t>Lecturi recomandate:</w:t>
            </w:r>
            <w:r w:rsidRPr="00F927B7">
              <w:rPr>
                <w:rFonts w:asciiTheme="minorHAnsi" w:hAnsiTheme="minorHAnsi" w:cstheme="minorHAnsi"/>
                <w:bCs/>
                <w:i/>
                <w:color w:val="800000"/>
                <w:sz w:val="16"/>
                <w:szCs w:val="16"/>
                <w:lang w:val="ro-RO"/>
              </w:rPr>
              <w:t xml:space="preserve">  </w:t>
            </w:r>
          </w:p>
          <w:p w14:paraId="068D5026" w14:textId="77777777" w:rsidR="001D7686" w:rsidRDefault="001D7686" w:rsidP="001D7686">
            <w:pPr>
              <w:pStyle w:val="NoSpacing"/>
              <w:rPr>
                <w:rFonts w:asciiTheme="minorHAnsi" w:hAnsiTheme="minorHAnsi" w:cstheme="minorHAnsi"/>
                <w:sz w:val="16"/>
                <w:szCs w:val="16"/>
                <w:lang w:val="ro-RO"/>
              </w:rPr>
            </w:pPr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 xml:space="preserve">The World Economic Forum: The </w:t>
            </w:r>
            <w:proofErr w:type="spellStart"/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>Future</w:t>
            </w:r>
            <w:proofErr w:type="spellEnd"/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 xml:space="preserve"> of </w:t>
            </w:r>
            <w:proofErr w:type="spellStart"/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>Jobs</w:t>
            </w:r>
            <w:proofErr w:type="spellEnd"/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 xml:space="preserve"> Report 2025</w:t>
            </w:r>
          </w:p>
          <w:p w14:paraId="624259BA" w14:textId="77777777" w:rsidR="00B850CE" w:rsidRPr="00B850CE" w:rsidRDefault="00B850CE" w:rsidP="00B850CE">
            <w:pPr>
              <w:pStyle w:val="NoSpacing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 xml:space="preserve">AI HR </w:t>
            </w:r>
            <w:r w:rsidRPr="00B850C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11 HR Trends for 2026: Shaping What’s Next</w:t>
            </w:r>
          </w:p>
          <w:p w14:paraId="27ED818E" w14:textId="63ACC2D7" w:rsidR="00B850CE" w:rsidRDefault="00B850CE" w:rsidP="001D768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9" w:history="1">
              <w:r w:rsidRPr="00170C0B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https://www.aihr.com/blog/hr-trends/</w:t>
              </w:r>
            </w:hyperlink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10401AC8" w14:textId="03567C5C" w:rsidR="001D7686" w:rsidRPr="00F927B7" w:rsidRDefault="001D7686" w:rsidP="001D768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927B7">
              <w:rPr>
                <w:rFonts w:asciiTheme="minorHAnsi" w:hAnsiTheme="minorHAnsi" w:cstheme="minorHAnsi"/>
                <w:sz w:val="16"/>
                <w:szCs w:val="16"/>
              </w:rPr>
              <w:t>AON 202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5</w:t>
            </w:r>
            <w:r w:rsidRPr="00F927B7">
              <w:rPr>
                <w:rFonts w:asciiTheme="minorHAnsi" w:hAnsiTheme="minorHAnsi" w:cstheme="minorHAnsi"/>
                <w:sz w:val="16"/>
                <w:szCs w:val="16"/>
              </w:rPr>
              <w:t xml:space="preserve"> Global Medical Trend </w:t>
            </w:r>
            <w:proofErr w:type="spellStart"/>
            <w:r w:rsidRPr="00F927B7">
              <w:rPr>
                <w:rFonts w:asciiTheme="minorHAnsi" w:hAnsiTheme="minorHAnsi" w:cstheme="minorHAnsi"/>
                <w:sz w:val="16"/>
                <w:szCs w:val="16"/>
              </w:rPr>
              <w:t>Rates</w:t>
            </w:r>
            <w:proofErr w:type="spellEnd"/>
            <w:r w:rsidRPr="00F927B7">
              <w:rPr>
                <w:rFonts w:asciiTheme="minorHAnsi" w:hAnsiTheme="minorHAnsi" w:cstheme="minorHAnsi"/>
                <w:sz w:val="16"/>
                <w:szCs w:val="16"/>
              </w:rPr>
              <w:t xml:space="preserve"> Report</w:t>
            </w:r>
          </w:p>
          <w:p w14:paraId="0650119F" w14:textId="77777777" w:rsidR="001D7686" w:rsidRPr="00F927B7" w:rsidRDefault="001D7686" w:rsidP="001D7686">
            <w:pPr>
              <w:pStyle w:val="NoSpacing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ro-RO"/>
              </w:rPr>
            </w:pPr>
            <w:r w:rsidRPr="00F927B7">
              <w:rPr>
                <w:rFonts w:asciiTheme="minorHAnsi" w:hAnsiTheme="minorHAnsi" w:cstheme="minorHAnsi"/>
                <w:b/>
                <w:bCs/>
                <w:sz w:val="16"/>
                <w:szCs w:val="16"/>
                <w:lang w:val="ro-RO"/>
              </w:rPr>
              <w:t>Lecturi opționale</w:t>
            </w:r>
          </w:p>
          <w:p w14:paraId="48C0C59F" w14:textId="77777777" w:rsidR="001D7686" w:rsidRPr="00F927B7" w:rsidRDefault="001D7686" w:rsidP="001D7686">
            <w:pPr>
              <w:pStyle w:val="NoSpacing"/>
              <w:rPr>
                <w:rFonts w:asciiTheme="minorHAnsi" w:hAnsiTheme="minorHAnsi" w:cstheme="minorHAnsi"/>
                <w:sz w:val="16"/>
                <w:szCs w:val="16"/>
                <w:lang w:val="ro-RO"/>
              </w:rPr>
            </w:pPr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 xml:space="preserve">The World Economic Forum: </w:t>
            </w:r>
            <w:proofErr w:type="spellStart"/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>Jobs</w:t>
            </w:r>
            <w:proofErr w:type="spellEnd"/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 xml:space="preserve"> of </w:t>
            </w:r>
            <w:proofErr w:type="spellStart"/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>Tomorrow</w:t>
            </w:r>
            <w:proofErr w:type="spellEnd"/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 xml:space="preserve">: The Triple </w:t>
            </w:r>
            <w:proofErr w:type="spellStart"/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>Returns</w:t>
            </w:r>
            <w:proofErr w:type="spellEnd"/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 xml:space="preserve"> of Social </w:t>
            </w:r>
            <w:proofErr w:type="spellStart"/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>Jobs</w:t>
            </w:r>
            <w:proofErr w:type="spellEnd"/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 xml:space="preserve"> in </w:t>
            </w:r>
            <w:proofErr w:type="spellStart"/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>the</w:t>
            </w:r>
            <w:proofErr w:type="spellEnd"/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 xml:space="preserve"> Economic </w:t>
            </w:r>
            <w:proofErr w:type="spellStart"/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>Recovery</w:t>
            </w:r>
            <w:proofErr w:type="spellEnd"/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>, 2022</w:t>
            </w:r>
          </w:p>
          <w:p w14:paraId="266A3BD5" w14:textId="77777777" w:rsidR="001D7686" w:rsidRPr="00F927B7" w:rsidRDefault="001D7686" w:rsidP="001D7686">
            <w:pPr>
              <w:pStyle w:val="NoSpacing"/>
              <w:rPr>
                <w:rFonts w:asciiTheme="minorHAnsi" w:hAnsiTheme="minorHAnsi" w:cstheme="minorHAnsi"/>
                <w:sz w:val="16"/>
                <w:szCs w:val="16"/>
                <w:lang w:val="ro-RO"/>
              </w:rPr>
            </w:pPr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 xml:space="preserve">Top 10 </w:t>
            </w:r>
            <w:proofErr w:type="spellStart"/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>Jobs</w:t>
            </w:r>
            <w:proofErr w:type="spellEnd"/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 xml:space="preserve"> of </w:t>
            </w:r>
            <w:proofErr w:type="spellStart"/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>the</w:t>
            </w:r>
            <w:proofErr w:type="spellEnd"/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 xml:space="preserve"> </w:t>
            </w:r>
            <w:proofErr w:type="spellStart"/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>Future</w:t>
            </w:r>
            <w:proofErr w:type="spellEnd"/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 xml:space="preserve"> - For 2030 </w:t>
            </w:r>
            <w:proofErr w:type="spellStart"/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>And</w:t>
            </w:r>
            <w:proofErr w:type="spellEnd"/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 xml:space="preserve"> </w:t>
            </w:r>
            <w:proofErr w:type="spellStart"/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>Beyond</w:t>
            </w:r>
            <w:proofErr w:type="spellEnd"/>
          </w:p>
          <w:p w14:paraId="54861067" w14:textId="77777777" w:rsidR="001D7686" w:rsidRPr="00F927B7" w:rsidRDefault="001D7686" w:rsidP="001D7686">
            <w:pPr>
              <w:pStyle w:val="NoSpacing"/>
              <w:rPr>
                <w:rFonts w:asciiTheme="minorHAnsi" w:hAnsiTheme="minorHAnsi" w:cstheme="minorHAnsi"/>
                <w:sz w:val="16"/>
                <w:szCs w:val="16"/>
                <w:lang w:val="ro-RO"/>
              </w:rPr>
            </w:pPr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 xml:space="preserve">SHRM, </w:t>
            </w:r>
            <w:proofErr w:type="spellStart"/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>What</w:t>
            </w:r>
            <w:proofErr w:type="spellEnd"/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 xml:space="preserve"> Will </w:t>
            </w:r>
            <w:proofErr w:type="spellStart"/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>the</w:t>
            </w:r>
            <w:proofErr w:type="spellEnd"/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 xml:space="preserve"> </w:t>
            </w:r>
            <w:proofErr w:type="spellStart"/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>Workplace</w:t>
            </w:r>
            <w:proofErr w:type="spellEnd"/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 xml:space="preserve"> Look </w:t>
            </w:r>
            <w:proofErr w:type="spellStart"/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>Like</w:t>
            </w:r>
            <w:proofErr w:type="spellEnd"/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 xml:space="preserve"> in 2025?</w:t>
            </w:r>
          </w:p>
          <w:p w14:paraId="363017D6" w14:textId="77777777" w:rsidR="001D7686" w:rsidRPr="00F927B7" w:rsidRDefault="001D7686" w:rsidP="001D768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F927B7">
              <w:rPr>
                <w:rFonts w:asciiTheme="minorHAnsi" w:hAnsiTheme="minorHAnsi" w:cstheme="minorHAnsi"/>
                <w:sz w:val="16"/>
                <w:szCs w:val="16"/>
              </w:rPr>
              <w:t>KornFerry</w:t>
            </w:r>
            <w:proofErr w:type="spellEnd"/>
            <w:r w:rsidRPr="00F927B7">
              <w:rPr>
                <w:rFonts w:asciiTheme="minorHAnsi" w:hAnsiTheme="minorHAnsi" w:cstheme="minorHAnsi"/>
                <w:sz w:val="16"/>
                <w:szCs w:val="16"/>
              </w:rPr>
              <w:t xml:space="preserve"> – Talent </w:t>
            </w:r>
            <w:proofErr w:type="spellStart"/>
            <w:r w:rsidRPr="00F927B7">
              <w:rPr>
                <w:rFonts w:asciiTheme="minorHAnsi" w:hAnsiTheme="minorHAnsi" w:cstheme="minorHAnsi"/>
                <w:sz w:val="16"/>
                <w:szCs w:val="16"/>
              </w:rPr>
              <w:t>Aquisition</w:t>
            </w:r>
            <w:proofErr w:type="spellEnd"/>
            <w:r w:rsidRPr="00F927B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F927B7">
              <w:rPr>
                <w:rFonts w:asciiTheme="minorHAnsi" w:hAnsiTheme="minorHAnsi" w:cstheme="minorHAnsi"/>
                <w:sz w:val="16"/>
                <w:szCs w:val="16"/>
              </w:rPr>
              <w:t>Trends</w:t>
            </w:r>
            <w:proofErr w:type="spellEnd"/>
            <w:r w:rsidRPr="00F927B7">
              <w:rPr>
                <w:rFonts w:asciiTheme="minorHAnsi" w:hAnsiTheme="minorHAnsi" w:cstheme="minorHAnsi"/>
                <w:sz w:val="16"/>
                <w:szCs w:val="16"/>
              </w:rPr>
              <w:t xml:space="preserve"> 2024 Report</w:t>
            </w:r>
          </w:p>
          <w:p w14:paraId="6E0F2D1A" w14:textId="77777777" w:rsidR="001D7686" w:rsidRPr="00F927B7" w:rsidRDefault="001D7686" w:rsidP="001D768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927B7">
              <w:rPr>
                <w:rFonts w:asciiTheme="minorHAnsi" w:hAnsiTheme="minorHAnsi" w:cstheme="minorHAnsi"/>
                <w:sz w:val="16"/>
                <w:szCs w:val="16"/>
              </w:rPr>
              <w:t xml:space="preserve">Top </w:t>
            </w:r>
            <w:proofErr w:type="spellStart"/>
            <w:r w:rsidRPr="00F927B7">
              <w:rPr>
                <w:rFonts w:asciiTheme="minorHAnsi" w:hAnsiTheme="minorHAnsi" w:cstheme="minorHAnsi"/>
                <w:sz w:val="16"/>
                <w:szCs w:val="16"/>
              </w:rPr>
              <w:t>Employers</w:t>
            </w:r>
            <w:proofErr w:type="spellEnd"/>
            <w:r w:rsidRPr="00F927B7">
              <w:rPr>
                <w:rFonts w:asciiTheme="minorHAnsi" w:hAnsiTheme="minorHAnsi" w:cstheme="minorHAnsi"/>
                <w:sz w:val="16"/>
                <w:szCs w:val="16"/>
              </w:rPr>
              <w:t xml:space="preserve"> Institute – World of </w:t>
            </w:r>
            <w:proofErr w:type="spellStart"/>
            <w:r w:rsidRPr="00F927B7">
              <w:rPr>
                <w:rFonts w:asciiTheme="minorHAnsi" w:hAnsiTheme="minorHAnsi" w:cstheme="minorHAnsi"/>
                <w:sz w:val="16"/>
                <w:szCs w:val="16"/>
              </w:rPr>
              <w:t>Work</w:t>
            </w:r>
            <w:proofErr w:type="spellEnd"/>
            <w:r w:rsidRPr="00F927B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F927B7">
              <w:rPr>
                <w:rFonts w:asciiTheme="minorHAnsi" w:hAnsiTheme="minorHAnsi" w:cstheme="minorHAnsi"/>
                <w:sz w:val="16"/>
                <w:szCs w:val="16"/>
              </w:rPr>
              <w:t>Trends</w:t>
            </w:r>
            <w:proofErr w:type="spellEnd"/>
            <w:r w:rsidRPr="00F927B7">
              <w:rPr>
                <w:rFonts w:asciiTheme="minorHAnsi" w:hAnsiTheme="minorHAnsi" w:cstheme="minorHAnsi"/>
                <w:sz w:val="16"/>
                <w:szCs w:val="16"/>
              </w:rPr>
              <w:t xml:space="preserve"> 2024</w:t>
            </w:r>
          </w:p>
          <w:p w14:paraId="57423FC5" w14:textId="77777777" w:rsidR="001D7686" w:rsidRPr="00F927B7" w:rsidRDefault="001D7686" w:rsidP="001D768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F927B7">
              <w:rPr>
                <w:rFonts w:asciiTheme="minorHAnsi" w:hAnsiTheme="minorHAnsi" w:cstheme="minorHAnsi"/>
                <w:sz w:val="16"/>
                <w:szCs w:val="16"/>
              </w:rPr>
              <w:t xml:space="preserve">McLean &amp; </w:t>
            </w:r>
            <w:proofErr w:type="spellStart"/>
            <w:r w:rsidRPr="00F927B7">
              <w:rPr>
                <w:rFonts w:asciiTheme="minorHAnsi" w:hAnsiTheme="minorHAnsi" w:cstheme="minorHAnsi"/>
                <w:sz w:val="16"/>
                <w:szCs w:val="16"/>
              </w:rPr>
              <w:t>Company’s</w:t>
            </w:r>
            <w:proofErr w:type="spellEnd"/>
            <w:r w:rsidRPr="00F927B7">
              <w:rPr>
                <w:rFonts w:asciiTheme="minorHAnsi" w:hAnsiTheme="minorHAnsi" w:cstheme="minorHAnsi"/>
                <w:sz w:val="16"/>
                <w:szCs w:val="16"/>
              </w:rPr>
              <w:t xml:space="preserve">  - HR </w:t>
            </w:r>
            <w:proofErr w:type="spellStart"/>
            <w:r w:rsidRPr="00F927B7">
              <w:rPr>
                <w:rFonts w:asciiTheme="minorHAnsi" w:hAnsiTheme="minorHAnsi" w:cstheme="minorHAnsi"/>
                <w:sz w:val="16"/>
                <w:szCs w:val="16"/>
              </w:rPr>
              <w:t>Trends</w:t>
            </w:r>
            <w:proofErr w:type="spellEnd"/>
            <w:r w:rsidRPr="00F927B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F927B7">
              <w:rPr>
                <w:rFonts w:asciiTheme="minorHAnsi" w:hAnsiTheme="minorHAnsi" w:cstheme="minorHAnsi"/>
                <w:sz w:val="16"/>
                <w:szCs w:val="16"/>
              </w:rPr>
              <w:t>Survey</w:t>
            </w:r>
            <w:proofErr w:type="spellEnd"/>
            <w:r w:rsidRPr="00F927B7">
              <w:rPr>
                <w:rFonts w:asciiTheme="minorHAnsi" w:hAnsiTheme="minorHAnsi" w:cstheme="minorHAnsi"/>
                <w:sz w:val="16"/>
                <w:szCs w:val="16"/>
              </w:rPr>
              <w:t xml:space="preserve"> 2024</w:t>
            </w:r>
          </w:p>
          <w:p w14:paraId="23955630" w14:textId="77777777" w:rsidR="001D7686" w:rsidRDefault="001D7686" w:rsidP="001D7686">
            <w:r w:rsidRPr="00F927B7">
              <w:rPr>
                <w:rFonts w:asciiTheme="minorHAnsi" w:hAnsiTheme="minorHAnsi" w:cstheme="minorHAnsi"/>
                <w:sz w:val="16"/>
                <w:szCs w:val="16"/>
              </w:rPr>
              <w:t xml:space="preserve">2024 HR </w:t>
            </w:r>
            <w:proofErr w:type="spellStart"/>
            <w:r w:rsidRPr="00F927B7">
              <w:rPr>
                <w:rFonts w:asciiTheme="minorHAnsi" w:hAnsiTheme="minorHAnsi" w:cstheme="minorHAnsi"/>
                <w:sz w:val="16"/>
                <w:szCs w:val="16"/>
              </w:rPr>
              <w:t>Trends</w:t>
            </w:r>
            <w:proofErr w:type="spellEnd"/>
            <w:r w:rsidRPr="00F927B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F927B7">
              <w:rPr>
                <w:rFonts w:asciiTheme="minorHAnsi" w:hAnsiTheme="minorHAnsi" w:cstheme="minorHAnsi"/>
                <w:sz w:val="16"/>
                <w:szCs w:val="16"/>
              </w:rPr>
              <w:t>to</w:t>
            </w:r>
            <w:proofErr w:type="spellEnd"/>
            <w:r w:rsidRPr="00F927B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F927B7">
              <w:rPr>
                <w:rFonts w:asciiTheme="minorHAnsi" w:hAnsiTheme="minorHAnsi" w:cstheme="minorHAnsi"/>
                <w:sz w:val="16"/>
                <w:szCs w:val="16"/>
              </w:rPr>
              <w:t>Leverage</w:t>
            </w:r>
            <w:proofErr w:type="spellEnd"/>
            <w:r w:rsidRPr="00F927B7">
              <w:rPr>
                <w:rFonts w:asciiTheme="minorHAnsi" w:hAnsiTheme="minorHAnsi" w:cstheme="minorHAnsi"/>
                <w:sz w:val="16"/>
                <w:szCs w:val="16"/>
              </w:rPr>
              <w:t xml:space="preserve"> in </w:t>
            </w:r>
            <w:proofErr w:type="spellStart"/>
            <w:r w:rsidRPr="00F927B7">
              <w:rPr>
                <w:rFonts w:asciiTheme="minorHAnsi" w:hAnsiTheme="minorHAnsi" w:cstheme="minorHAnsi"/>
                <w:sz w:val="16"/>
                <w:szCs w:val="16"/>
              </w:rPr>
              <w:t>Your</w:t>
            </w:r>
            <w:proofErr w:type="spellEnd"/>
            <w:r w:rsidRPr="00F927B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F927B7">
              <w:rPr>
                <w:rFonts w:asciiTheme="minorHAnsi" w:hAnsiTheme="minorHAnsi" w:cstheme="minorHAnsi"/>
                <w:sz w:val="16"/>
                <w:szCs w:val="16"/>
              </w:rPr>
              <w:t>Strategy</w:t>
            </w:r>
            <w:proofErr w:type="spellEnd"/>
            <w:r w:rsidRPr="00F927B7">
              <w:rPr>
                <w:rFonts w:asciiTheme="minorHAnsi" w:hAnsiTheme="minorHAnsi" w:cstheme="minorHAnsi"/>
                <w:sz w:val="16"/>
                <w:szCs w:val="16"/>
              </w:rPr>
              <w:t xml:space="preserve"> [</w:t>
            </w:r>
            <w:proofErr w:type="spellStart"/>
            <w:r w:rsidRPr="00F927B7">
              <w:rPr>
                <w:rFonts w:asciiTheme="minorHAnsi" w:hAnsiTheme="minorHAnsi" w:cstheme="minorHAnsi"/>
                <w:sz w:val="16"/>
                <w:szCs w:val="16"/>
              </w:rPr>
              <w:t>With</w:t>
            </w:r>
            <w:proofErr w:type="spellEnd"/>
            <w:r w:rsidRPr="00F927B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F927B7">
              <w:rPr>
                <w:rFonts w:asciiTheme="minorHAnsi" w:hAnsiTheme="minorHAnsi" w:cstheme="minorHAnsi"/>
                <w:sz w:val="16"/>
                <w:szCs w:val="16"/>
              </w:rPr>
              <w:t>Quotes</w:t>
            </w:r>
            <w:proofErr w:type="spellEnd"/>
            <w:r w:rsidRPr="00F927B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F927B7">
              <w:rPr>
                <w:rFonts w:asciiTheme="minorHAnsi" w:hAnsiTheme="minorHAnsi" w:cstheme="minorHAnsi"/>
                <w:sz w:val="16"/>
                <w:szCs w:val="16"/>
              </w:rPr>
              <w:t>From</w:t>
            </w:r>
            <w:proofErr w:type="spellEnd"/>
            <w:r w:rsidRPr="00F927B7">
              <w:rPr>
                <w:rFonts w:asciiTheme="minorHAnsi" w:hAnsiTheme="minorHAnsi" w:cstheme="minorHAnsi"/>
                <w:sz w:val="16"/>
                <w:szCs w:val="16"/>
              </w:rPr>
              <w:t xml:space="preserve"> HR </w:t>
            </w:r>
            <w:proofErr w:type="spellStart"/>
            <w:r w:rsidRPr="00F927B7">
              <w:rPr>
                <w:rFonts w:asciiTheme="minorHAnsi" w:hAnsiTheme="minorHAnsi" w:cstheme="minorHAnsi"/>
                <w:sz w:val="16"/>
                <w:szCs w:val="16"/>
              </w:rPr>
              <w:t>Influencers</w:t>
            </w:r>
            <w:proofErr w:type="spellEnd"/>
            <w:r w:rsidRPr="00F927B7">
              <w:rPr>
                <w:rFonts w:asciiTheme="minorHAnsi" w:hAnsiTheme="minorHAnsi" w:cstheme="minorHAnsi"/>
                <w:sz w:val="16"/>
                <w:szCs w:val="16"/>
              </w:rPr>
              <w:t xml:space="preserve">], </w:t>
            </w:r>
            <w:hyperlink r:id="rId10" w:history="1">
              <w:r w:rsidRPr="00F927B7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https://mirro.io/blog/author/theodora-stanciu</w:t>
              </w:r>
            </w:hyperlink>
          </w:p>
          <w:p w14:paraId="2E720044" w14:textId="33183F50" w:rsidR="001D7686" w:rsidRPr="00AB51F7" w:rsidRDefault="001D7686" w:rsidP="001D7686">
            <w:pPr>
              <w:rPr>
                <w:rFonts w:ascii="Calibri" w:hAnsi="Calibri" w:cs="Calibri"/>
                <w:sz w:val="22"/>
                <w:szCs w:val="22"/>
              </w:rPr>
            </w:pPr>
            <w:r w:rsidRPr="00F927B7">
              <w:rPr>
                <w:rFonts w:asciiTheme="minorHAnsi" w:hAnsiTheme="minorHAnsi" w:cstheme="minorHAnsi"/>
                <w:sz w:val="16"/>
                <w:szCs w:val="16"/>
              </w:rPr>
              <w:t xml:space="preserve">AON 2023- </w:t>
            </w:r>
            <w:proofErr w:type="spellStart"/>
            <w:r w:rsidRPr="00F927B7">
              <w:rPr>
                <w:rFonts w:asciiTheme="minorHAnsi" w:hAnsiTheme="minorHAnsi" w:cstheme="minorHAnsi"/>
                <w:sz w:val="16"/>
                <w:szCs w:val="16"/>
              </w:rPr>
              <w:t>Navigating</w:t>
            </w:r>
            <w:proofErr w:type="spellEnd"/>
            <w:r w:rsidRPr="00F927B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F927B7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F927B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F927B7">
              <w:rPr>
                <w:rFonts w:asciiTheme="minorHAnsi" w:hAnsiTheme="minorHAnsi" w:cstheme="minorHAnsi"/>
                <w:sz w:val="16"/>
                <w:szCs w:val="16"/>
              </w:rPr>
              <w:t>new</w:t>
            </w:r>
            <w:proofErr w:type="spellEnd"/>
            <w:r w:rsidRPr="00F927B7">
              <w:rPr>
                <w:rFonts w:asciiTheme="minorHAnsi" w:hAnsiTheme="minorHAnsi" w:cstheme="minorHAnsi"/>
                <w:sz w:val="16"/>
                <w:szCs w:val="16"/>
              </w:rPr>
              <w:t xml:space="preserve"> EU directive on </w:t>
            </w:r>
            <w:proofErr w:type="spellStart"/>
            <w:r w:rsidRPr="00F927B7">
              <w:rPr>
                <w:rFonts w:asciiTheme="minorHAnsi" w:hAnsiTheme="minorHAnsi" w:cstheme="minorHAnsi"/>
                <w:sz w:val="16"/>
                <w:szCs w:val="16"/>
              </w:rPr>
              <w:t>pay</w:t>
            </w:r>
            <w:proofErr w:type="spellEnd"/>
            <w:r w:rsidRPr="00F927B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F927B7">
              <w:rPr>
                <w:rFonts w:asciiTheme="minorHAnsi" w:hAnsiTheme="minorHAnsi" w:cstheme="minorHAnsi"/>
                <w:sz w:val="16"/>
                <w:szCs w:val="16"/>
              </w:rPr>
              <w:t>transparency</w:t>
            </w:r>
            <w:proofErr w:type="spellEnd"/>
            <w:r w:rsidRPr="00F927B7">
              <w:rPr>
                <w:rFonts w:asciiTheme="minorHAnsi" w:hAnsiTheme="minorHAnsi" w:cstheme="minorHAnsi"/>
                <w:sz w:val="16"/>
                <w:szCs w:val="16"/>
              </w:rPr>
              <w:t xml:space="preserve"> (</w:t>
            </w:r>
            <w:hyperlink r:id="rId11" w:history="1">
              <w:r w:rsidRPr="00F927B7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https://www.aon.com/en/insights/articles/navigating-the-new-eu-directive-on-pay-transparency</w:t>
              </w:r>
            </w:hyperlink>
            <w:r w:rsidRPr="00F927B7">
              <w:rPr>
                <w:rFonts w:asciiTheme="minorHAnsi" w:hAnsiTheme="minorHAnsi" w:cstheme="minorHAnsi"/>
                <w:sz w:val="16"/>
                <w:szCs w:val="16"/>
              </w:rPr>
              <w:t xml:space="preserve"> )</w:t>
            </w:r>
          </w:p>
        </w:tc>
      </w:tr>
      <w:tr w:rsidR="001D7686" w:rsidRPr="00AB51F7" w14:paraId="67C8F17B" w14:textId="77777777" w:rsidTr="006B5128">
        <w:trPr>
          <w:trHeight w:val="794"/>
        </w:trPr>
        <w:tc>
          <w:tcPr>
            <w:tcW w:w="4678" w:type="dxa"/>
          </w:tcPr>
          <w:p w14:paraId="3CC21212" w14:textId="77777777" w:rsidR="001D7686" w:rsidRPr="00F927B7" w:rsidRDefault="001D7686" w:rsidP="001D7686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</w:pPr>
            <w:r w:rsidRPr="00F927B7"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  <w:t xml:space="preserve">2. Automatizare 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  <w:t>ș</w:t>
            </w:r>
            <w:r w:rsidRPr="00F927B7"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  <w:t xml:space="preserve">i digitalizare 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  <w:t>î</w:t>
            </w:r>
            <w:r w:rsidRPr="00F927B7"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  <w:t xml:space="preserve">n HR </w:t>
            </w:r>
          </w:p>
          <w:p w14:paraId="7C3C1181" w14:textId="77777777" w:rsidR="001D7686" w:rsidRPr="00F927B7" w:rsidRDefault="001D7686" w:rsidP="001D7686">
            <w:pPr>
              <w:pStyle w:val="NoSpacing"/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>2.1. Spectrul automatizării in HR</w:t>
            </w:r>
          </w:p>
          <w:p w14:paraId="27788151" w14:textId="77777777" w:rsidR="001D7686" w:rsidRPr="00F927B7" w:rsidRDefault="001D7686" w:rsidP="001D7686">
            <w:pPr>
              <w:pStyle w:val="NoSpacing"/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 xml:space="preserve">2.2. </w:t>
            </w:r>
            <w:proofErr w:type="spellStart"/>
            <w:r w:rsidRPr="00F927B7"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>People</w:t>
            </w:r>
            <w:proofErr w:type="spellEnd"/>
            <w:r w:rsidRPr="00F927B7"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927B7"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>analytics</w:t>
            </w:r>
            <w:proofErr w:type="spellEnd"/>
            <w:r w:rsidRPr="00F927B7"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>: importan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>ț</w:t>
            </w:r>
            <w:r w:rsidRPr="00F927B7"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>a datelor in HR</w:t>
            </w:r>
          </w:p>
          <w:p w14:paraId="5505D937" w14:textId="77777777" w:rsidR="001D7686" w:rsidRPr="00F927B7" w:rsidRDefault="001D7686" w:rsidP="001D7686">
            <w:pPr>
              <w:pStyle w:val="NoSpacing"/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 xml:space="preserve">2.3. </w:t>
            </w:r>
            <w:proofErr w:type="spellStart"/>
            <w:r w:rsidRPr="00F927B7"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>People</w:t>
            </w:r>
            <w:proofErr w:type="spellEnd"/>
            <w:r w:rsidRPr="00F927B7"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927B7"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>Analytics</w:t>
            </w:r>
            <w:proofErr w:type="spellEnd"/>
            <w:r w:rsidRPr="00F927B7"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927B7"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>vs</w:t>
            </w:r>
            <w:proofErr w:type="spellEnd"/>
            <w:r w:rsidRPr="00F927B7"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 xml:space="preserve">  HR </w:t>
            </w:r>
            <w:proofErr w:type="spellStart"/>
            <w:r w:rsidRPr="00F927B7"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>Analytics</w:t>
            </w:r>
            <w:proofErr w:type="spellEnd"/>
          </w:p>
          <w:p w14:paraId="5C6AF62F" w14:textId="77777777" w:rsidR="001D7686" w:rsidRPr="00F927B7" w:rsidRDefault="001D7686" w:rsidP="001D7686">
            <w:pPr>
              <w:pStyle w:val="NoSpacing"/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 xml:space="preserve">2.4. Predictive HR </w:t>
            </w:r>
            <w:proofErr w:type="spellStart"/>
            <w:r w:rsidRPr="00F927B7"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>Analytics</w:t>
            </w:r>
            <w:proofErr w:type="spellEnd"/>
          </w:p>
          <w:p w14:paraId="0E7355CC" w14:textId="77777777" w:rsidR="001D7686" w:rsidRPr="00F927B7" w:rsidRDefault="001D7686" w:rsidP="001D7686">
            <w:pPr>
              <w:pStyle w:val="NoSpacing"/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lastRenderedPageBreak/>
              <w:t xml:space="preserve">2.5. Tehnologii ML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>ș</w:t>
            </w:r>
            <w:r w:rsidRPr="00F927B7"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>i AI in HR</w:t>
            </w:r>
          </w:p>
          <w:p w14:paraId="1FE7055E" w14:textId="79AF3C16" w:rsidR="001D7686" w:rsidRPr="00AB51F7" w:rsidRDefault="001D7686" w:rsidP="001D7686">
            <w:pPr>
              <w:rPr>
                <w:rFonts w:ascii="Calibri" w:hAnsi="Calibri" w:cs="Calibri"/>
                <w:sz w:val="22"/>
                <w:szCs w:val="22"/>
              </w:rPr>
            </w:pPr>
            <w:r w:rsidRPr="00F927B7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2.6. Probleme etice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î</w:t>
            </w:r>
            <w:r w:rsidRPr="00F927B7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n utilizarea AI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î</w:t>
            </w:r>
            <w:r w:rsidRPr="00F927B7">
              <w:rPr>
                <w:rFonts w:asciiTheme="minorHAnsi" w:hAnsiTheme="minorHAnsi" w:cstheme="minorHAnsi"/>
                <w:bCs/>
                <w:sz w:val="18"/>
                <w:szCs w:val="18"/>
              </w:rPr>
              <w:t>n procese de HR</w:t>
            </w:r>
          </w:p>
        </w:tc>
        <w:tc>
          <w:tcPr>
            <w:tcW w:w="1134" w:type="dxa"/>
          </w:tcPr>
          <w:p w14:paraId="7CC5BAD7" w14:textId="52A1150C" w:rsidR="001D7686" w:rsidRPr="00AB51F7" w:rsidRDefault="001D7686" w:rsidP="001D7686">
            <w:pPr>
              <w:rPr>
                <w:rFonts w:ascii="Calibri" w:hAnsi="Calibri" w:cs="Calibri"/>
                <w:sz w:val="22"/>
                <w:szCs w:val="22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Prelegere</w:t>
            </w:r>
          </w:p>
        </w:tc>
        <w:tc>
          <w:tcPr>
            <w:tcW w:w="4536" w:type="dxa"/>
          </w:tcPr>
          <w:p w14:paraId="08B14D59" w14:textId="77777777" w:rsidR="001D7686" w:rsidRPr="00F927B7" w:rsidRDefault="001D7686" w:rsidP="001D7686">
            <w:pPr>
              <w:pStyle w:val="NoSpacing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Sunt prezentate sintetic principalele concepte legate de automatizarea sarcinilor 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î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n HR, instrumente 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ș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i platforme analitice, importan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ț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a datelor, noile tehnologii predictive precum 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ș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i studii de caz care ilustrează folosirea </w:t>
            </w:r>
            <w:proofErr w:type="spellStart"/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machine</w:t>
            </w:r>
            <w:proofErr w:type="spellEnd"/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learning</w:t>
            </w:r>
            <w:proofErr w:type="spellEnd"/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ș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i AI 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î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n HR</w:t>
            </w:r>
          </w:p>
          <w:p w14:paraId="14F0F699" w14:textId="77777777" w:rsidR="001D7686" w:rsidRPr="00F927B7" w:rsidRDefault="001D7686" w:rsidP="001D7686">
            <w:pPr>
              <w:pStyle w:val="NoSpacing"/>
              <w:rPr>
                <w:rFonts w:asciiTheme="minorHAnsi" w:hAnsiTheme="minorHAnsi" w:cstheme="minorHAnsi"/>
                <w:bCs/>
                <w:i/>
                <w:color w:val="800000"/>
                <w:sz w:val="16"/>
                <w:szCs w:val="16"/>
                <w:lang w:val="ro-RO"/>
              </w:rPr>
            </w:pPr>
            <w:r w:rsidRPr="00F927B7">
              <w:rPr>
                <w:rFonts w:asciiTheme="minorHAnsi" w:hAnsiTheme="minorHAnsi" w:cstheme="minorHAnsi"/>
                <w:b/>
                <w:bCs/>
                <w:i/>
                <w:color w:val="800000"/>
                <w:sz w:val="18"/>
                <w:szCs w:val="18"/>
                <w:lang w:val="ro-RO"/>
              </w:rPr>
              <w:lastRenderedPageBreak/>
              <w:t>Lecturi recomandate:</w:t>
            </w:r>
            <w:r w:rsidRPr="00F927B7">
              <w:rPr>
                <w:rFonts w:asciiTheme="minorHAnsi" w:hAnsiTheme="minorHAnsi" w:cstheme="minorHAnsi"/>
                <w:bCs/>
                <w:i/>
                <w:color w:val="800000"/>
                <w:sz w:val="16"/>
                <w:szCs w:val="16"/>
                <w:lang w:val="ro-RO"/>
              </w:rPr>
              <w:t xml:space="preserve">  </w:t>
            </w:r>
          </w:p>
          <w:p w14:paraId="7B3105F3" w14:textId="77777777" w:rsidR="001D7686" w:rsidRPr="00F927B7" w:rsidRDefault="001D7686" w:rsidP="001D7686">
            <w:pPr>
              <w:pStyle w:val="NoSpacing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proofErr w:type="spellStart"/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What</w:t>
            </w:r>
            <w:proofErr w:type="spellEnd"/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is</w:t>
            </w:r>
            <w:proofErr w:type="spellEnd"/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 HR </w:t>
            </w:r>
            <w:proofErr w:type="spellStart"/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Analytics</w:t>
            </w:r>
            <w:proofErr w:type="spellEnd"/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?, 2020</w:t>
            </w:r>
          </w:p>
          <w:p w14:paraId="489DC630" w14:textId="22BE283A" w:rsidR="001D7686" w:rsidRPr="00AB51F7" w:rsidRDefault="001D7686" w:rsidP="001D7686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F927B7">
              <w:rPr>
                <w:rFonts w:asciiTheme="minorHAnsi" w:hAnsiTheme="minorHAnsi" w:cstheme="minorHAnsi"/>
                <w:sz w:val="18"/>
                <w:szCs w:val="18"/>
              </w:rPr>
              <w:t>How</w:t>
            </w:r>
            <w:proofErr w:type="spellEnd"/>
            <w:r w:rsidRPr="00F927B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F927B7">
              <w:rPr>
                <w:rFonts w:asciiTheme="minorHAnsi" w:hAnsiTheme="minorHAnsi" w:cstheme="minorHAnsi"/>
                <w:sz w:val="18"/>
                <w:szCs w:val="18"/>
              </w:rPr>
              <w:t>Machine</w:t>
            </w:r>
            <w:proofErr w:type="spellEnd"/>
            <w:r w:rsidRPr="00F927B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F927B7">
              <w:rPr>
                <w:rFonts w:asciiTheme="minorHAnsi" w:hAnsiTheme="minorHAnsi" w:cstheme="minorHAnsi"/>
                <w:sz w:val="18"/>
                <w:szCs w:val="18"/>
              </w:rPr>
              <w:t>Learning</w:t>
            </w:r>
            <w:proofErr w:type="spellEnd"/>
            <w:r w:rsidRPr="00F927B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F927B7">
              <w:rPr>
                <w:rFonts w:asciiTheme="minorHAnsi" w:hAnsiTheme="minorHAnsi" w:cstheme="minorHAnsi"/>
                <w:sz w:val="18"/>
                <w:szCs w:val="18"/>
              </w:rPr>
              <w:t>is</w:t>
            </w:r>
            <w:proofErr w:type="spellEnd"/>
            <w:r w:rsidRPr="00F927B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F927B7">
              <w:rPr>
                <w:rFonts w:asciiTheme="minorHAnsi" w:hAnsiTheme="minorHAnsi" w:cstheme="minorHAnsi"/>
                <w:sz w:val="18"/>
                <w:szCs w:val="18"/>
              </w:rPr>
              <w:t>Changing</w:t>
            </w:r>
            <w:proofErr w:type="spellEnd"/>
            <w:r w:rsidRPr="00F927B7">
              <w:rPr>
                <w:rFonts w:asciiTheme="minorHAnsi" w:hAnsiTheme="minorHAnsi" w:cstheme="minorHAnsi"/>
                <w:sz w:val="18"/>
                <w:szCs w:val="18"/>
              </w:rPr>
              <w:t xml:space="preserve"> HR Industry, 2020</w:t>
            </w:r>
          </w:p>
        </w:tc>
      </w:tr>
      <w:tr w:rsidR="001D7686" w:rsidRPr="00AB51F7" w14:paraId="456B041E" w14:textId="77777777" w:rsidTr="006B5128">
        <w:trPr>
          <w:trHeight w:val="794"/>
        </w:trPr>
        <w:tc>
          <w:tcPr>
            <w:tcW w:w="4678" w:type="dxa"/>
          </w:tcPr>
          <w:p w14:paraId="42E3097F" w14:textId="77777777" w:rsidR="001D7686" w:rsidRPr="00F927B7" w:rsidRDefault="001D7686" w:rsidP="001D7686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</w:pPr>
            <w:r w:rsidRPr="00F927B7"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  <w:lastRenderedPageBreak/>
              <w:t xml:space="preserve">3. Instrumente analitice 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  <w:t>î</w:t>
            </w:r>
            <w:r w:rsidRPr="00F927B7"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  <w:t xml:space="preserve">n HR </w:t>
            </w:r>
          </w:p>
          <w:p w14:paraId="1AF02A16" w14:textId="77777777" w:rsidR="001D7686" w:rsidRPr="00F927B7" w:rsidRDefault="001D7686" w:rsidP="001D7686">
            <w:pPr>
              <w:pStyle w:val="NoSpacing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3.1. Instrumente analitice 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î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n HR</w:t>
            </w:r>
          </w:p>
          <w:p w14:paraId="0A8B612B" w14:textId="77777777" w:rsidR="001D7686" w:rsidRPr="00F927B7" w:rsidRDefault="001D7686" w:rsidP="001D7686">
            <w:pPr>
              <w:pStyle w:val="NoSpacing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3.2. Provocări 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î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n implementarea unor solu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ț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ii analitice 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î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n organizații</w:t>
            </w:r>
          </w:p>
          <w:p w14:paraId="35BAB5A1" w14:textId="1C6A4C40" w:rsidR="001D7686" w:rsidRPr="00AB51F7" w:rsidRDefault="001D7686" w:rsidP="001D7686">
            <w:pPr>
              <w:rPr>
                <w:rFonts w:ascii="Calibri" w:hAnsi="Calibri" w:cs="Calibri"/>
                <w:sz w:val="22"/>
                <w:szCs w:val="22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</w:rPr>
              <w:t xml:space="preserve">3.3.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Studiu de caz</w:t>
            </w:r>
            <w:r w:rsidRPr="00F927B7">
              <w:rPr>
                <w:rFonts w:asciiTheme="minorHAnsi" w:hAnsiTheme="minorHAnsi" w:cstheme="minorHAnsi"/>
                <w:sz w:val="18"/>
                <w:szCs w:val="18"/>
              </w:rPr>
              <w:t xml:space="preserve">: determinarea </w:t>
            </w:r>
            <w:r w:rsidR="00B850CE" w:rsidRPr="00F927B7">
              <w:rPr>
                <w:rFonts w:asciiTheme="minorHAnsi" w:hAnsiTheme="minorHAnsi" w:cstheme="minorHAnsi"/>
                <w:sz w:val="18"/>
                <w:szCs w:val="18"/>
              </w:rPr>
              <w:t xml:space="preserve">diferențelor de compensare </w:t>
            </w:r>
            <w:r w:rsidR="00B850C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B850CE">
              <w:rPr>
                <w:rFonts w:asciiTheme="minorHAnsi" w:hAnsiTheme="minorHAnsi" w:cstheme="minorHAnsi"/>
                <w:sz w:val="18"/>
                <w:szCs w:val="18"/>
              </w:rPr>
              <w:t>pay</w:t>
            </w:r>
            <w:proofErr w:type="spellEnd"/>
            <w:r w:rsidR="00B850C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B850CE">
              <w:rPr>
                <w:rFonts w:asciiTheme="minorHAnsi" w:hAnsiTheme="minorHAnsi" w:cstheme="minorHAnsi"/>
                <w:sz w:val="18"/>
                <w:szCs w:val="18"/>
              </w:rPr>
              <w:t>gap</w:t>
            </w:r>
            <w:proofErr w:type="spellEnd"/>
          </w:p>
        </w:tc>
        <w:tc>
          <w:tcPr>
            <w:tcW w:w="1134" w:type="dxa"/>
          </w:tcPr>
          <w:p w14:paraId="56D6B029" w14:textId="536183D8" w:rsidR="001D7686" w:rsidRPr="00AB51F7" w:rsidRDefault="001D7686" w:rsidP="001D7686">
            <w:pPr>
              <w:rPr>
                <w:rFonts w:ascii="Calibri" w:hAnsi="Calibri" w:cs="Calibri"/>
                <w:sz w:val="22"/>
                <w:szCs w:val="22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</w:rPr>
              <w:t>Prelegere</w:t>
            </w:r>
          </w:p>
        </w:tc>
        <w:tc>
          <w:tcPr>
            <w:tcW w:w="4536" w:type="dxa"/>
          </w:tcPr>
          <w:p w14:paraId="5F0BC8B6" w14:textId="77777777" w:rsidR="001D7686" w:rsidRDefault="001D7686" w:rsidP="001D7686">
            <w:pPr>
              <w:pStyle w:val="NoSpacing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Sunt prezentate pe scurt principalele concepte legate de instrumentele analitice folosite in resurse umane </w:t>
            </w:r>
          </w:p>
          <w:p w14:paraId="621FE6C0" w14:textId="77777777" w:rsidR="001D7686" w:rsidRDefault="001D7686" w:rsidP="001D7686">
            <w:pPr>
              <w:pStyle w:val="NoSpacing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b/>
                <w:bCs/>
                <w:i/>
                <w:color w:val="800000"/>
                <w:sz w:val="18"/>
                <w:szCs w:val="18"/>
                <w:lang w:val="ro-RO"/>
              </w:rPr>
              <w:t>Lecturi recomandate:</w:t>
            </w:r>
          </w:p>
          <w:p w14:paraId="7CE43E85" w14:textId="77777777" w:rsidR="001D7686" w:rsidRDefault="001D7686" w:rsidP="001D7686">
            <w:pPr>
              <w:pStyle w:val="NoSpacing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F8655A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van </w:t>
            </w:r>
            <w:proofErr w:type="spellStart"/>
            <w:r w:rsidRPr="00F8655A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Vulpen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 E.,</w:t>
            </w:r>
            <w:r w:rsidRPr="00F8655A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8655A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Verlinden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 N., </w:t>
            </w:r>
            <w:r w:rsidRPr="00F8655A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 </w:t>
            </w:r>
            <w:r w:rsidRPr="00F8655A">
              <w:rPr>
                <w:rFonts w:asciiTheme="minorHAnsi" w:hAnsiTheme="minorHAnsi" w:cstheme="minorHAnsi"/>
                <w:i/>
                <w:iCs/>
                <w:sz w:val="18"/>
                <w:szCs w:val="18"/>
                <w:lang w:val="ro-RO"/>
              </w:rPr>
              <w:t xml:space="preserve">HRIS 101: </w:t>
            </w:r>
            <w:proofErr w:type="spellStart"/>
            <w:r w:rsidRPr="00F8655A">
              <w:rPr>
                <w:rFonts w:asciiTheme="minorHAnsi" w:hAnsiTheme="minorHAnsi" w:cstheme="minorHAnsi"/>
                <w:i/>
                <w:iCs/>
                <w:sz w:val="18"/>
                <w:szCs w:val="18"/>
                <w:lang w:val="ro-RO"/>
              </w:rPr>
              <w:t>All</w:t>
            </w:r>
            <w:proofErr w:type="spellEnd"/>
            <w:r w:rsidRPr="00F8655A">
              <w:rPr>
                <w:rFonts w:asciiTheme="minorHAnsi" w:hAnsiTheme="minorHAnsi" w:cstheme="minorHAnsi"/>
                <w:i/>
                <w:i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8655A">
              <w:rPr>
                <w:rFonts w:asciiTheme="minorHAnsi" w:hAnsiTheme="minorHAnsi" w:cstheme="minorHAnsi"/>
                <w:i/>
                <w:iCs/>
                <w:sz w:val="18"/>
                <w:szCs w:val="18"/>
                <w:lang w:val="ro-RO"/>
              </w:rPr>
              <w:t>You</w:t>
            </w:r>
            <w:proofErr w:type="spellEnd"/>
            <w:r w:rsidRPr="00F8655A">
              <w:rPr>
                <w:rFonts w:asciiTheme="minorHAnsi" w:hAnsiTheme="minorHAnsi" w:cstheme="minorHAnsi"/>
                <w:i/>
                <w:i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8655A">
              <w:rPr>
                <w:rFonts w:asciiTheme="minorHAnsi" w:hAnsiTheme="minorHAnsi" w:cstheme="minorHAnsi"/>
                <w:i/>
                <w:iCs/>
                <w:sz w:val="18"/>
                <w:szCs w:val="18"/>
                <w:lang w:val="ro-RO"/>
              </w:rPr>
              <w:t>Need</w:t>
            </w:r>
            <w:proofErr w:type="spellEnd"/>
            <w:r w:rsidRPr="00F8655A">
              <w:rPr>
                <w:rFonts w:asciiTheme="minorHAnsi" w:hAnsiTheme="minorHAnsi" w:cstheme="minorHAnsi"/>
                <w:i/>
                <w:i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8655A">
              <w:rPr>
                <w:rFonts w:asciiTheme="minorHAnsi" w:hAnsiTheme="minorHAnsi" w:cstheme="minorHAnsi"/>
                <w:i/>
                <w:iCs/>
                <w:sz w:val="18"/>
                <w:szCs w:val="18"/>
                <w:lang w:val="ro-RO"/>
              </w:rPr>
              <w:t>To</w:t>
            </w:r>
            <w:proofErr w:type="spellEnd"/>
            <w:r w:rsidRPr="00F8655A">
              <w:rPr>
                <w:rFonts w:asciiTheme="minorHAnsi" w:hAnsiTheme="minorHAnsi" w:cstheme="minorHAnsi"/>
                <w:i/>
                <w:i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8655A">
              <w:rPr>
                <w:rFonts w:asciiTheme="minorHAnsi" w:hAnsiTheme="minorHAnsi" w:cstheme="minorHAnsi"/>
                <w:i/>
                <w:iCs/>
                <w:sz w:val="18"/>
                <w:szCs w:val="18"/>
                <w:lang w:val="ro-RO"/>
              </w:rPr>
              <w:t>Know</w:t>
            </w:r>
            <w:proofErr w:type="spellEnd"/>
            <w:r w:rsidRPr="00F8655A">
              <w:rPr>
                <w:rFonts w:asciiTheme="minorHAnsi" w:hAnsiTheme="minorHAnsi" w:cstheme="minorHAnsi"/>
                <w:i/>
                <w:iCs/>
                <w:sz w:val="18"/>
                <w:szCs w:val="18"/>
                <w:lang w:val="ro-RO"/>
              </w:rPr>
              <w:t xml:space="preserve"> in 2024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AiHR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platform</w:t>
            </w:r>
            <w:proofErr w:type="spellEnd"/>
          </w:p>
          <w:p w14:paraId="05310A76" w14:textId="5B3F6E4C" w:rsidR="001D7686" w:rsidRPr="00AB51F7" w:rsidRDefault="001D7686" w:rsidP="001D7686">
            <w:pPr>
              <w:rPr>
                <w:rFonts w:ascii="Calibri" w:hAnsi="Calibri" w:cs="Calibri"/>
                <w:sz w:val="22"/>
                <w:szCs w:val="22"/>
              </w:rPr>
            </w:pPr>
            <w:r w:rsidRPr="00F8655A">
              <w:rPr>
                <w:rFonts w:asciiTheme="minorHAnsi" w:hAnsiTheme="minorHAnsi" w:cstheme="minorHAnsi"/>
                <w:sz w:val="18"/>
                <w:szCs w:val="18"/>
              </w:rPr>
              <w:t xml:space="preserve">van </w:t>
            </w:r>
            <w:proofErr w:type="spellStart"/>
            <w:r w:rsidRPr="00F8655A">
              <w:rPr>
                <w:rFonts w:asciiTheme="minorHAnsi" w:hAnsiTheme="minorHAnsi" w:cstheme="minorHAnsi"/>
                <w:sz w:val="18"/>
                <w:szCs w:val="18"/>
              </w:rPr>
              <w:t>Vulpen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E,</w:t>
            </w:r>
            <w:r w:rsidRPr="00F8655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F8655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What</w:t>
            </w:r>
            <w:proofErr w:type="spellEnd"/>
            <w:r w:rsidRPr="00F8655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8655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is</w:t>
            </w:r>
            <w:proofErr w:type="spellEnd"/>
            <w:r w:rsidRPr="00F8655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an HR </w:t>
            </w:r>
            <w:proofErr w:type="spellStart"/>
            <w:r w:rsidRPr="00F8655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Dashboard</w:t>
            </w:r>
            <w:proofErr w:type="spellEnd"/>
            <w:r w:rsidRPr="00F8655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&amp; HR Report? </w:t>
            </w:r>
            <w:proofErr w:type="spellStart"/>
            <w:r w:rsidRPr="00F8655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Examples</w:t>
            </w:r>
            <w:proofErr w:type="spellEnd"/>
            <w:r w:rsidRPr="00F8655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F8655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Visuals</w:t>
            </w:r>
            <w:proofErr w:type="spellEnd"/>
            <w:r w:rsidRPr="00F8655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8655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and</w:t>
            </w:r>
            <w:proofErr w:type="spellEnd"/>
            <w:r w:rsidRPr="00F8655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a </w:t>
            </w:r>
            <w:proofErr w:type="spellStart"/>
            <w:r w:rsidRPr="00F8655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How-To</w:t>
            </w:r>
            <w:proofErr w:type="spellEnd"/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</w:t>
            </w:r>
            <w:r w:rsidRPr="00F8655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2024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AiHR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platform</w:t>
            </w:r>
            <w:proofErr w:type="spellEnd"/>
          </w:p>
        </w:tc>
      </w:tr>
      <w:tr w:rsidR="001D7686" w:rsidRPr="00AB51F7" w14:paraId="682AFB7E" w14:textId="77777777" w:rsidTr="006B5128">
        <w:trPr>
          <w:trHeight w:val="794"/>
        </w:trPr>
        <w:tc>
          <w:tcPr>
            <w:tcW w:w="4678" w:type="dxa"/>
          </w:tcPr>
          <w:p w14:paraId="22F7F79A" w14:textId="77777777" w:rsidR="001D7686" w:rsidRPr="00F927B7" w:rsidRDefault="001D7686" w:rsidP="001D7686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</w:pPr>
            <w:r w:rsidRPr="00F927B7"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  <w:t xml:space="preserve">4. Managementul resurselor umane in contextul reglementarilor legale din România </w:t>
            </w:r>
          </w:p>
          <w:p w14:paraId="1DE29801" w14:textId="77777777" w:rsidR="001D7686" w:rsidRPr="00F927B7" w:rsidRDefault="001D7686" w:rsidP="001D7686">
            <w:pPr>
              <w:pStyle w:val="NoSpacing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4.1. Codul muncii, Legi speciale (asigurări sociale, fiscalitate, dialog social, etc)</w:t>
            </w:r>
          </w:p>
          <w:p w14:paraId="18EE15AA" w14:textId="77777777" w:rsidR="001D7686" w:rsidRPr="00F927B7" w:rsidRDefault="001D7686" w:rsidP="001D7686">
            <w:pPr>
              <w:pStyle w:val="NoSpacing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4.2. Contracte colective,</w:t>
            </w:r>
          </w:p>
          <w:p w14:paraId="00C1D030" w14:textId="77777777" w:rsidR="001D7686" w:rsidRPr="00F927B7" w:rsidRDefault="001D7686" w:rsidP="001D7686">
            <w:pPr>
              <w:pStyle w:val="NoSpacing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4.3. Contractul individual de munca (definiție, clauze, condiții de modificare, suspendare, încetare</w:t>
            </w:r>
          </w:p>
          <w:p w14:paraId="0973C34A" w14:textId="265C621C" w:rsidR="001D7686" w:rsidRPr="00AB51F7" w:rsidRDefault="001D7686" w:rsidP="001D7686">
            <w:pPr>
              <w:rPr>
                <w:rFonts w:ascii="Calibri" w:hAnsi="Calibri" w:cs="Calibri"/>
                <w:sz w:val="22"/>
                <w:szCs w:val="22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</w:rPr>
              <w:t>4.4. Rela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ț</w:t>
            </w:r>
            <w:r w:rsidRPr="00F927B7">
              <w:rPr>
                <w:rFonts w:asciiTheme="minorHAnsi" w:hAnsiTheme="minorHAnsi" w:cstheme="minorHAnsi"/>
                <w:sz w:val="18"/>
                <w:szCs w:val="18"/>
              </w:rPr>
              <w:t>ii de muncă</w:t>
            </w:r>
          </w:p>
        </w:tc>
        <w:tc>
          <w:tcPr>
            <w:tcW w:w="1134" w:type="dxa"/>
          </w:tcPr>
          <w:p w14:paraId="3917B657" w14:textId="412C8724" w:rsidR="001D7686" w:rsidRPr="00AB51F7" w:rsidRDefault="001D7686" w:rsidP="001D7686">
            <w:pPr>
              <w:rPr>
                <w:rFonts w:ascii="Calibri" w:hAnsi="Calibri" w:cs="Calibri"/>
                <w:sz w:val="22"/>
                <w:szCs w:val="22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</w:rPr>
              <w:t>Prelegere</w:t>
            </w:r>
          </w:p>
        </w:tc>
        <w:tc>
          <w:tcPr>
            <w:tcW w:w="4536" w:type="dxa"/>
          </w:tcPr>
          <w:p w14:paraId="6449538B" w14:textId="77777777" w:rsidR="001D7686" w:rsidRPr="00F927B7" w:rsidRDefault="001D7686" w:rsidP="001D7686">
            <w:pPr>
              <w:pStyle w:val="NoSpacing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Sunt prezentate pe scurt prevederile Codului Muncii 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ș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i a principalelor reglementări legislative în domeniul muncii din România.</w:t>
            </w:r>
          </w:p>
          <w:p w14:paraId="6C16ED62" w14:textId="77777777" w:rsidR="001D7686" w:rsidRPr="00F927B7" w:rsidRDefault="001D7686" w:rsidP="001D7686">
            <w:pPr>
              <w:pStyle w:val="NoSpacing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Sunt discutate aspecte legate de dialog social (reglementări, păr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ț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i implicate, strategii, etc)</w:t>
            </w:r>
          </w:p>
          <w:p w14:paraId="469DCC66" w14:textId="77777777" w:rsidR="001D7686" w:rsidRPr="00F927B7" w:rsidRDefault="001D7686" w:rsidP="001D7686">
            <w:pPr>
              <w:pStyle w:val="NoSpacing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Sunt prezentate tipurile de contracte individuale de muncă</w:t>
            </w:r>
          </w:p>
          <w:p w14:paraId="2EB75260" w14:textId="77777777" w:rsidR="001D7686" w:rsidRPr="00F927B7" w:rsidRDefault="001D7686" w:rsidP="001D7686">
            <w:pPr>
              <w:pStyle w:val="NoSpacing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Sunt discutate aspecte legate de ini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ț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ierea 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ș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i executarea contractelor individuale de muncă</w:t>
            </w:r>
          </w:p>
          <w:p w14:paraId="5DBAF3E2" w14:textId="49E0073D" w:rsidR="001D7686" w:rsidRPr="00AB51F7" w:rsidRDefault="001D7686" w:rsidP="001D7686">
            <w:pPr>
              <w:rPr>
                <w:rFonts w:ascii="Calibri" w:hAnsi="Calibri" w:cs="Calibri"/>
                <w:sz w:val="22"/>
                <w:szCs w:val="22"/>
              </w:rPr>
            </w:pPr>
            <w:r w:rsidRPr="00F927B7">
              <w:rPr>
                <w:rFonts w:asciiTheme="minorHAnsi" w:hAnsiTheme="minorHAnsi" w:cstheme="minorHAnsi"/>
                <w:b/>
                <w:bCs/>
                <w:i/>
                <w:color w:val="800000"/>
                <w:sz w:val="18"/>
                <w:szCs w:val="18"/>
              </w:rPr>
              <w:t xml:space="preserve">Lecturi recomandate: </w:t>
            </w:r>
            <w:r w:rsidRPr="00F927B7">
              <w:rPr>
                <w:rFonts w:asciiTheme="minorHAnsi" w:hAnsiTheme="minorHAnsi" w:cstheme="minorHAnsi"/>
                <w:bCs/>
                <w:i/>
                <w:color w:val="FF0000"/>
                <w:sz w:val="18"/>
                <w:szCs w:val="18"/>
              </w:rPr>
              <w:t>Codul Muncii actualizat</w:t>
            </w:r>
          </w:p>
        </w:tc>
      </w:tr>
      <w:tr w:rsidR="001D7686" w:rsidRPr="00AB51F7" w14:paraId="3BDEE53D" w14:textId="77777777" w:rsidTr="006B5128">
        <w:trPr>
          <w:trHeight w:val="794"/>
        </w:trPr>
        <w:tc>
          <w:tcPr>
            <w:tcW w:w="4678" w:type="dxa"/>
          </w:tcPr>
          <w:p w14:paraId="67498862" w14:textId="77777777" w:rsidR="001D7686" w:rsidRPr="00F927B7" w:rsidRDefault="001D7686" w:rsidP="001D7686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</w:pPr>
            <w:r w:rsidRPr="00F927B7"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  <w:t xml:space="preserve">5. Salarizarea. Impozite 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  <w:t>ș</w:t>
            </w:r>
            <w:r w:rsidRPr="00F927B7"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  <w:t>i obliga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  <w:t>ț</w:t>
            </w:r>
            <w:r w:rsidRPr="00F927B7"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  <w:t xml:space="preserve">ii către stat. Calculare salarii </w:t>
            </w:r>
          </w:p>
          <w:p w14:paraId="0B0202E7" w14:textId="77777777" w:rsidR="001D7686" w:rsidRPr="00F927B7" w:rsidRDefault="001D7686" w:rsidP="001D7686">
            <w:pPr>
              <w:pStyle w:val="NoSpacing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5.1. Defini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ț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ie. Salariul de bază (de încadrare). Durata timpului de muncă. Tipuri de concedii. Structura salariului. Contribu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ț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ii la bugetul de stat. Re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ț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inerile din salariu</w:t>
            </w:r>
          </w:p>
          <w:p w14:paraId="67360F96" w14:textId="77777777" w:rsidR="001D7686" w:rsidRPr="00F927B7" w:rsidRDefault="001D7686" w:rsidP="001D7686">
            <w:pPr>
              <w:pStyle w:val="NoSpacing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5.2 Instrumente de calcul salarial </w:t>
            </w:r>
          </w:p>
          <w:p w14:paraId="2000EC20" w14:textId="77777777" w:rsidR="001D7686" w:rsidRDefault="001D7686" w:rsidP="001D7686">
            <w:pPr>
              <w:pStyle w:val="NoSpacing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5.3 Diferențe salariale 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î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ntre diferite categorii de angajați (criterii de gen, generație, vechime, rasa/etnicitate)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 </w:t>
            </w:r>
          </w:p>
          <w:p w14:paraId="1F7C1F61" w14:textId="12878133" w:rsidR="001D7686" w:rsidRDefault="001D7686" w:rsidP="001D7686">
            <w:pPr>
              <w:pStyle w:val="NoSpacing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5.4 Transparența salarială: reglementări viitoare și provocări pentru HR</w:t>
            </w:r>
          </w:p>
          <w:p w14:paraId="035A407B" w14:textId="0ACA6B6A" w:rsidR="00D14D32" w:rsidRPr="00D14D32" w:rsidRDefault="00D14D32" w:rsidP="001D7686">
            <w:pPr>
              <w:pStyle w:val="NoSpacing"/>
              <w:rPr>
                <w:rFonts w:asciiTheme="minorHAnsi" w:hAnsiTheme="minorHAnsi" w:cstheme="minorHAnsi"/>
                <w:bCs/>
                <w:sz w:val="20"/>
                <w:szCs w:val="20"/>
                <w:lang w:val="ro-RO"/>
              </w:rPr>
            </w:pPr>
            <w:r w:rsidRPr="00D14D32"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 xml:space="preserve">5.5 Audit </w:t>
            </w:r>
            <w:proofErr w:type="spellStart"/>
            <w:r w:rsidRPr="00D14D32"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>pay</w:t>
            </w:r>
            <w:proofErr w:type="spellEnd"/>
            <w:r w:rsidRPr="00D14D32"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D14D32"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>gap</w:t>
            </w:r>
            <w:proofErr w:type="spellEnd"/>
          </w:p>
        </w:tc>
        <w:tc>
          <w:tcPr>
            <w:tcW w:w="1134" w:type="dxa"/>
          </w:tcPr>
          <w:p w14:paraId="38685FFD" w14:textId="6C12E7ED" w:rsidR="001D7686" w:rsidRPr="00F927B7" w:rsidRDefault="001D7686" w:rsidP="001D768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</w:rPr>
              <w:t>Prelegere</w:t>
            </w:r>
          </w:p>
        </w:tc>
        <w:tc>
          <w:tcPr>
            <w:tcW w:w="4536" w:type="dxa"/>
          </w:tcPr>
          <w:p w14:paraId="2C585BD2" w14:textId="77777777" w:rsidR="001D7686" w:rsidRPr="00F927B7" w:rsidRDefault="001D7686" w:rsidP="001D7686">
            <w:pPr>
              <w:pStyle w:val="NoSpacing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Sunt prezentate informații privind salarizarea 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ș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i modalită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ț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i de calcul salarial.</w:t>
            </w:r>
          </w:p>
          <w:p w14:paraId="54C75058" w14:textId="7788B939" w:rsidR="001D7686" w:rsidRDefault="00477728" w:rsidP="001D7686">
            <w:pPr>
              <w:pStyle w:val="NoSpacing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Sunt introduse teme legate de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compensatii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 si beneficii in lumina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pay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tranparency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 </w:t>
            </w:r>
          </w:p>
          <w:p w14:paraId="7D621DA0" w14:textId="77777777" w:rsidR="001D7686" w:rsidRPr="00F927B7" w:rsidRDefault="001D7686" w:rsidP="001D7686">
            <w:pPr>
              <w:pStyle w:val="NoSpacing"/>
              <w:rPr>
                <w:rFonts w:asciiTheme="minorHAnsi" w:hAnsiTheme="minorHAnsi" w:cstheme="minorHAnsi"/>
                <w:bCs/>
                <w:i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>Lecturi recomandate</w:t>
            </w:r>
            <w:r w:rsidRPr="00F927B7">
              <w:rPr>
                <w:rFonts w:asciiTheme="minorHAnsi" w:hAnsiTheme="minorHAnsi" w:cstheme="minorHAnsi"/>
                <w:bCs/>
                <w:i/>
                <w:sz w:val="18"/>
                <w:szCs w:val="18"/>
                <w:lang w:val="ro-RO"/>
              </w:rPr>
              <w:t xml:space="preserve">: Codul Muncii actualizat. </w:t>
            </w:r>
          </w:p>
          <w:p w14:paraId="38178547" w14:textId="77777777" w:rsidR="001D7686" w:rsidRDefault="001D7686" w:rsidP="001D7686">
            <w:pPr>
              <w:pStyle w:val="NoSpacing"/>
              <w:rPr>
                <w:rFonts w:asciiTheme="minorHAnsi" w:hAnsiTheme="minorHAnsi" w:cstheme="minorHAnsi"/>
                <w:bCs/>
                <w:i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bCs/>
                <w:i/>
                <w:sz w:val="18"/>
                <w:szCs w:val="18"/>
                <w:lang w:val="ro-RO"/>
              </w:rPr>
              <w:t>Codul fiscal actualizat (pentru contribu</w:t>
            </w:r>
            <w:r>
              <w:rPr>
                <w:rFonts w:asciiTheme="minorHAnsi" w:hAnsiTheme="minorHAnsi" w:cstheme="minorHAnsi"/>
                <w:bCs/>
                <w:i/>
                <w:sz w:val="18"/>
                <w:szCs w:val="18"/>
                <w:lang w:val="ro-RO"/>
              </w:rPr>
              <w:t>ț</w:t>
            </w:r>
            <w:r w:rsidRPr="00F927B7">
              <w:rPr>
                <w:rFonts w:asciiTheme="minorHAnsi" w:hAnsiTheme="minorHAnsi" w:cstheme="minorHAnsi"/>
                <w:bCs/>
                <w:i/>
                <w:sz w:val="18"/>
                <w:szCs w:val="18"/>
                <w:lang w:val="ro-RO"/>
              </w:rPr>
              <w:t>ii obligatorii la bugetul de stat)</w:t>
            </w:r>
          </w:p>
          <w:p w14:paraId="1D8AA101" w14:textId="34EB52A6" w:rsidR="00477728" w:rsidRDefault="00477728" w:rsidP="001D7686">
            <w:pPr>
              <w:pStyle w:val="NoSpacing"/>
              <w:rPr>
                <w:rFonts w:asciiTheme="minorHAnsi" w:hAnsiTheme="minorHAnsi" w:cstheme="minorHAnsi"/>
                <w:bCs/>
                <w:i/>
                <w:sz w:val="18"/>
                <w:szCs w:val="18"/>
                <w:lang w:val="ro-RO"/>
              </w:rPr>
            </w:pPr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 xml:space="preserve">Directive (EU) 2023/970 of </w:t>
            </w:r>
            <w:proofErr w:type="spellStart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>the</w:t>
            </w:r>
            <w:proofErr w:type="spellEnd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 xml:space="preserve"> European </w:t>
            </w:r>
            <w:proofErr w:type="spellStart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>Parliament</w:t>
            </w:r>
            <w:proofErr w:type="spellEnd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>and</w:t>
            </w:r>
            <w:proofErr w:type="spellEnd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 xml:space="preserve"> of </w:t>
            </w:r>
            <w:proofErr w:type="spellStart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>the</w:t>
            </w:r>
            <w:proofErr w:type="spellEnd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 xml:space="preserve"> Council of 10 May 2023 </w:t>
            </w:r>
            <w:proofErr w:type="spellStart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>to</w:t>
            </w:r>
            <w:proofErr w:type="spellEnd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>strengthen</w:t>
            </w:r>
            <w:proofErr w:type="spellEnd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>the</w:t>
            </w:r>
            <w:proofErr w:type="spellEnd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>application</w:t>
            </w:r>
            <w:proofErr w:type="spellEnd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 xml:space="preserve"> of </w:t>
            </w:r>
            <w:proofErr w:type="spellStart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>the</w:t>
            </w:r>
            <w:proofErr w:type="spellEnd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>principle</w:t>
            </w:r>
            <w:proofErr w:type="spellEnd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 xml:space="preserve"> of </w:t>
            </w:r>
            <w:proofErr w:type="spellStart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>equal</w:t>
            </w:r>
            <w:proofErr w:type="spellEnd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>pay</w:t>
            </w:r>
            <w:proofErr w:type="spellEnd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 xml:space="preserve"> for </w:t>
            </w:r>
            <w:proofErr w:type="spellStart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>equal</w:t>
            </w:r>
            <w:proofErr w:type="spellEnd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>work</w:t>
            </w:r>
            <w:proofErr w:type="spellEnd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 xml:space="preserve"> or </w:t>
            </w:r>
            <w:proofErr w:type="spellStart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>work</w:t>
            </w:r>
            <w:proofErr w:type="spellEnd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 xml:space="preserve"> of </w:t>
            </w:r>
            <w:proofErr w:type="spellStart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>equal</w:t>
            </w:r>
            <w:proofErr w:type="spellEnd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>value</w:t>
            </w:r>
            <w:proofErr w:type="spellEnd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>between</w:t>
            </w:r>
            <w:proofErr w:type="spellEnd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>men</w:t>
            </w:r>
            <w:proofErr w:type="spellEnd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>and</w:t>
            </w:r>
            <w:proofErr w:type="spellEnd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>women</w:t>
            </w:r>
            <w:proofErr w:type="spellEnd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>through</w:t>
            </w:r>
            <w:proofErr w:type="spellEnd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>pay</w:t>
            </w:r>
            <w:proofErr w:type="spellEnd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>transparency</w:t>
            </w:r>
            <w:proofErr w:type="spellEnd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>and</w:t>
            </w:r>
            <w:proofErr w:type="spellEnd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>enforcement</w:t>
            </w:r>
            <w:proofErr w:type="spellEnd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>mechanisms</w:t>
            </w:r>
            <w:proofErr w:type="spellEnd"/>
            <w:r w:rsidRPr="00477728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> </w:t>
            </w:r>
          </w:p>
          <w:p w14:paraId="7960BBE6" w14:textId="40264877" w:rsidR="001D7686" w:rsidRPr="00F927B7" w:rsidRDefault="00477728" w:rsidP="001D7686">
            <w:pPr>
              <w:pStyle w:val="NoSpacing"/>
              <w:rPr>
                <w:rFonts w:asciiTheme="minorHAnsi" w:hAnsiTheme="minorHAnsi" w:cstheme="minorHAnsi"/>
                <w:bCs/>
                <w:i/>
                <w:sz w:val="18"/>
                <w:szCs w:val="18"/>
                <w:lang w:val="ro-RO"/>
              </w:rPr>
            </w:pPr>
            <w:hyperlink r:id="rId12" w:history="1">
              <w:r w:rsidRPr="00AB67DF">
                <w:rPr>
                  <w:rStyle w:val="Hyperlink"/>
                  <w:rFonts w:asciiTheme="minorHAnsi" w:hAnsiTheme="minorHAnsi" w:cstheme="minorHAnsi"/>
                  <w:bCs/>
                  <w:i/>
                  <w:sz w:val="18"/>
                  <w:szCs w:val="18"/>
                  <w:lang w:val="ro-RO"/>
                </w:rPr>
                <w:t>https://eur-lex.europa.eu/eli/dir/2023/970/oj/eng</w:t>
              </w:r>
            </w:hyperlink>
            <w:r>
              <w:rPr>
                <w:rFonts w:asciiTheme="minorHAnsi" w:hAnsiTheme="minorHAnsi" w:cstheme="minorHAnsi"/>
                <w:bCs/>
                <w:i/>
                <w:sz w:val="18"/>
                <w:szCs w:val="18"/>
                <w:lang w:val="ro-RO"/>
              </w:rPr>
              <w:t xml:space="preserve"> </w:t>
            </w:r>
          </w:p>
          <w:p w14:paraId="17373452" w14:textId="0F154EDC" w:rsidR="001D7686" w:rsidRPr="00F927B7" w:rsidRDefault="001D7686" w:rsidP="001D7686">
            <w:pPr>
              <w:pStyle w:val="NoSpacing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AoN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whitepaper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, </w:t>
            </w:r>
            <w:proofErr w:type="spellStart"/>
            <w:r w:rsidRPr="00F8655A">
              <w:rPr>
                <w:rFonts w:asciiTheme="minorHAnsi" w:hAnsiTheme="minorHAnsi" w:cstheme="minorHAnsi"/>
                <w:i/>
                <w:iCs/>
                <w:sz w:val="18"/>
                <w:szCs w:val="18"/>
                <w:lang w:val="ro-RO"/>
              </w:rPr>
              <w:t>Navigating</w:t>
            </w:r>
            <w:proofErr w:type="spellEnd"/>
            <w:r w:rsidRPr="00F8655A">
              <w:rPr>
                <w:rFonts w:asciiTheme="minorHAnsi" w:hAnsiTheme="minorHAnsi" w:cstheme="minorHAnsi"/>
                <w:i/>
                <w:i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8655A">
              <w:rPr>
                <w:rFonts w:asciiTheme="minorHAnsi" w:hAnsiTheme="minorHAnsi" w:cstheme="minorHAnsi"/>
                <w:i/>
                <w:iCs/>
                <w:sz w:val="18"/>
                <w:szCs w:val="18"/>
                <w:lang w:val="ro-RO"/>
              </w:rPr>
              <w:t>the</w:t>
            </w:r>
            <w:proofErr w:type="spellEnd"/>
            <w:r w:rsidRPr="00F8655A">
              <w:rPr>
                <w:rFonts w:asciiTheme="minorHAnsi" w:hAnsiTheme="minorHAnsi" w:cstheme="minorHAnsi"/>
                <w:i/>
                <w:iCs/>
                <w:sz w:val="18"/>
                <w:szCs w:val="18"/>
                <w:lang w:val="ro-RO"/>
              </w:rPr>
              <w:t xml:space="preserve"> New EU Directive on </w:t>
            </w:r>
            <w:proofErr w:type="spellStart"/>
            <w:r w:rsidRPr="00F8655A">
              <w:rPr>
                <w:rFonts w:asciiTheme="minorHAnsi" w:hAnsiTheme="minorHAnsi" w:cstheme="minorHAnsi"/>
                <w:i/>
                <w:iCs/>
                <w:sz w:val="18"/>
                <w:szCs w:val="18"/>
                <w:lang w:val="ro-RO"/>
              </w:rPr>
              <w:t>Pay</w:t>
            </w:r>
            <w:proofErr w:type="spellEnd"/>
            <w:r w:rsidRPr="00F8655A">
              <w:rPr>
                <w:rFonts w:asciiTheme="minorHAnsi" w:hAnsiTheme="minorHAnsi" w:cstheme="minorHAnsi"/>
                <w:i/>
                <w:i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8655A">
              <w:rPr>
                <w:rFonts w:asciiTheme="minorHAnsi" w:hAnsiTheme="minorHAnsi" w:cstheme="minorHAnsi"/>
                <w:i/>
                <w:iCs/>
                <w:sz w:val="18"/>
                <w:szCs w:val="18"/>
                <w:lang w:val="ro-RO"/>
              </w:rPr>
              <w:t>Transparency</w:t>
            </w:r>
            <w:proofErr w:type="spellEnd"/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lang w:val="ro-RO"/>
              </w:rPr>
              <w:t xml:space="preserve"> (2023)</w:t>
            </w:r>
          </w:p>
        </w:tc>
      </w:tr>
      <w:tr w:rsidR="001D7686" w:rsidRPr="00AB51F7" w14:paraId="39EB66C5" w14:textId="77777777" w:rsidTr="006B5128">
        <w:trPr>
          <w:trHeight w:val="794"/>
        </w:trPr>
        <w:tc>
          <w:tcPr>
            <w:tcW w:w="4678" w:type="dxa"/>
          </w:tcPr>
          <w:p w14:paraId="2B1637E8" w14:textId="77777777" w:rsidR="001D7686" w:rsidRPr="00F927B7" w:rsidRDefault="001D7686" w:rsidP="001D7686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</w:pPr>
            <w:r w:rsidRPr="00F927B7"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  <w:t>6. Politici de salarizare, compensare si recunoa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  <w:t>ș</w:t>
            </w:r>
            <w:r w:rsidRPr="00F927B7"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  <w:t xml:space="preserve">tere a meritelor </w:t>
            </w:r>
          </w:p>
          <w:p w14:paraId="0E6B76F5" w14:textId="77777777" w:rsidR="001D7686" w:rsidRPr="00F927B7" w:rsidRDefault="001D7686" w:rsidP="001D7686">
            <w:pPr>
              <w:pStyle w:val="NoSpacing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6.1. Recompensare totală: Structurarea elementelor de compensare</w:t>
            </w:r>
          </w:p>
          <w:p w14:paraId="4BBF46E8" w14:textId="77777777" w:rsidR="001D7686" w:rsidRPr="00F927B7" w:rsidRDefault="001D7686" w:rsidP="001D7686">
            <w:pPr>
              <w:pStyle w:val="NoSpacing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6.2. Păr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ț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i fixe si variabile ale salariului. Beneficii</w:t>
            </w:r>
          </w:p>
          <w:p w14:paraId="04100B13" w14:textId="77777777" w:rsidR="001D7686" w:rsidRPr="00F927B7" w:rsidRDefault="001D7686" w:rsidP="001D7686">
            <w:pPr>
              <w:pStyle w:val="NoSpacing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6.3. Recunoa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ș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terea meritului: Managementul performantei si compensare </w:t>
            </w:r>
          </w:p>
          <w:p w14:paraId="7DA829BE" w14:textId="28D81477" w:rsidR="001D7686" w:rsidRPr="00F927B7" w:rsidRDefault="001D7686" w:rsidP="001D7686">
            <w:pPr>
              <w:pStyle w:val="NoSpacing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6.</w:t>
            </w:r>
            <w:r w:rsidR="00EF0BCB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4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. Identificarea </w:t>
            </w:r>
            <w:r w:rsidR="00B850CE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regulata a 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diferențelor de compensare (</w:t>
            </w:r>
            <w:proofErr w:type="spellStart"/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pay</w:t>
            </w:r>
            <w:proofErr w:type="spellEnd"/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gap</w:t>
            </w:r>
            <w:proofErr w:type="spellEnd"/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)</w:t>
            </w:r>
          </w:p>
          <w:p w14:paraId="37564D71" w14:textId="500F9C1A" w:rsidR="001D7686" w:rsidRPr="00F927B7" w:rsidRDefault="001D7686" w:rsidP="001D7686">
            <w:pPr>
              <w:pStyle w:val="NoSpacing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6.</w:t>
            </w:r>
            <w:r w:rsidR="00EF0BCB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5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. Eficientizarea politicilor de compensare total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ă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 prin comparare cu practici din pia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ț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ă </w:t>
            </w:r>
          </w:p>
          <w:p w14:paraId="04E5C5CA" w14:textId="31AFCFCE" w:rsidR="001D7686" w:rsidRPr="00F927B7" w:rsidRDefault="001D7686" w:rsidP="001D7686">
            <w:pPr>
              <w:pStyle w:val="NoSpacing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6.</w:t>
            </w:r>
            <w:r w:rsidR="00EF0BCB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6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. Importan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ț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a activită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ț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ii de </w:t>
            </w:r>
            <w:proofErr w:type="spellStart"/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benchmarking</w:t>
            </w:r>
            <w:proofErr w:type="spellEnd"/>
          </w:p>
          <w:p w14:paraId="0AAF06E5" w14:textId="77777777" w:rsidR="001D7686" w:rsidRPr="00F927B7" w:rsidRDefault="001D7686" w:rsidP="001D7686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1134" w:type="dxa"/>
          </w:tcPr>
          <w:p w14:paraId="77A84579" w14:textId="7DE192C6" w:rsidR="001D7686" w:rsidRPr="00F927B7" w:rsidRDefault="001D7686" w:rsidP="001D768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</w:rPr>
              <w:t>Prelegere</w:t>
            </w:r>
          </w:p>
        </w:tc>
        <w:tc>
          <w:tcPr>
            <w:tcW w:w="4536" w:type="dxa"/>
          </w:tcPr>
          <w:p w14:paraId="51C89F34" w14:textId="268CBD44" w:rsidR="001D7686" w:rsidRPr="00F927B7" w:rsidRDefault="001D7686" w:rsidP="001D7686">
            <w:pPr>
              <w:pStyle w:val="NoSpacing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Este prezentat conceptul pachetului total de recompensare, un model de structurare a compensării, un plan de beneficii precum si modalități practice de recompensare 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ș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i recunoa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ș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tere a performan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ț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ei</w:t>
            </w:r>
          </w:p>
          <w:p w14:paraId="18906FAD" w14:textId="77777777" w:rsidR="001D7686" w:rsidRPr="00F927B7" w:rsidRDefault="001D7686" w:rsidP="001D7686">
            <w:pPr>
              <w:pStyle w:val="NoSpacing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ro-RO"/>
              </w:rPr>
              <w:t xml:space="preserve">Lecturi recomandate: </w:t>
            </w:r>
          </w:p>
          <w:p w14:paraId="7818F4E5" w14:textId="77777777" w:rsidR="001D7686" w:rsidRDefault="001D7686" w:rsidP="001D7686">
            <w:pPr>
              <w:pStyle w:val="NoSpacing"/>
              <w:rPr>
                <w:rFonts w:asciiTheme="minorHAnsi" w:hAnsiTheme="minorHAnsi" w:cstheme="minorHAnsi"/>
                <w:bCs/>
                <w:i/>
                <w:sz w:val="16"/>
                <w:szCs w:val="16"/>
                <w:lang w:val="ro-RO"/>
              </w:rPr>
            </w:pPr>
            <w:r w:rsidRPr="00F927B7">
              <w:rPr>
                <w:rFonts w:asciiTheme="minorHAnsi" w:hAnsiTheme="minorHAnsi" w:cstheme="minorHAnsi"/>
                <w:bCs/>
                <w:i/>
                <w:sz w:val="16"/>
                <w:szCs w:val="16"/>
                <w:lang w:val="ro-RO"/>
              </w:rPr>
              <w:t>Capitolul 6 „</w:t>
            </w:r>
            <w:proofErr w:type="spellStart"/>
            <w:r w:rsidRPr="00F927B7">
              <w:rPr>
                <w:rFonts w:asciiTheme="minorHAnsi" w:hAnsiTheme="minorHAnsi" w:cstheme="minorHAnsi"/>
                <w:bCs/>
                <w:i/>
                <w:sz w:val="16"/>
                <w:szCs w:val="16"/>
                <w:lang w:val="ro-RO"/>
              </w:rPr>
              <w:t>Compensation</w:t>
            </w:r>
            <w:proofErr w:type="spellEnd"/>
            <w:r w:rsidRPr="00F927B7">
              <w:rPr>
                <w:rFonts w:asciiTheme="minorHAnsi" w:hAnsiTheme="minorHAnsi" w:cstheme="minorHAnsi"/>
                <w:bCs/>
                <w:i/>
                <w:sz w:val="16"/>
                <w:szCs w:val="16"/>
                <w:lang w:val="ro-RO"/>
              </w:rPr>
              <w:t xml:space="preserve"> Fundamentals” (2007), The </w:t>
            </w:r>
            <w:proofErr w:type="spellStart"/>
            <w:r w:rsidRPr="00F927B7">
              <w:rPr>
                <w:rFonts w:asciiTheme="minorHAnsi" w:hAnsiTheme="minorHAnsi" w:cstheme="minorHAnsi"/>
                <w:bCs/>
                <w:i/>
                <w:sz w:val="16"/>
                <w:szCs w:val="16"/>
                <w:lang w:val="ro-RO"/>
              </w:rPr>
              <w:t>WorldatWork</w:t>
            </w:r>
            <w:proofErr w:type="spellEnd"/>
            <w:r w:rsidRPr="00F927B7">
              <w:rPr>
                <w:rFonts w:asciiTheme="minorHAnsi" w:hAnsiTheme="minorHAnsi" w:cstheme="minorHAnsi"/>
                <w:bCs/>
                <w:i/>
                <w:sz w:val="16"/>
                <w:szCs w:val="16"/>
                <w:lang w:val="ro-RO"/>
              </w:rPr>
              <w:t xml:space="preserve"> </w:t>
            </w:r>
            <w:proofErr w:type="spellStart"/>
            <w:r w:rsidRPr="00F927B7">
              <w:rPr>
                <w:rFonts w:asciiTheme="minorHAnsi" w:hAnsiTheme="minorHAnsi" w:cstheme="minorHAnsi"/>
                <w:bCs/>
                <w:i/>
                <w:sz w:val="16"/>
                <w:szCs w:val="16"/>
                <w:lang w:val="ro-RO"/>
              </w:rPr>
              <w:t>Hanbook</w:t>
            </w:r>
            <w:proofErr w:type="spellEnd"/>
            <w:r w:rsidRPr="00F927B7">
              <w:rPr>
                <w:rFonts w:asciiTheme="minorHAnsi" w:hAnsiTheme="minorHAnsi" w:cstheme="minorHAnsi"/>
                <w:bCs/>
                <w:i/>
                <w:sz w:val="16"/>
                <w:szCs w:val="16"/>
                <w:lang w:val="ro-RO"/>
              </w:rPr>
              <w:t xml:space="preserve"> of </w:t>
            </w:r>
            <w:proofErr w:type="spellStart"/>
            <w:r w:rsidRPr="00F927B7">
              <w:rPr>
                <w:rFonts w:asciiTheme="minorHAnsi" w:hAnsiTheme="minorHAnsi" w:cstheme="minorHAnsi"/>
                <w:bCs/>
                <w:i/>
                <w:sz w:val="16"/>
                <w:szCs w:val="16"/>
                <w:lang w:val="ro-RO"/>
              </w:rPr>
              <w:t>Compensation</w:t>
            </w:r>
            <w:proofErr w:type="spellEnd"/>
            <w:r w:rsidRPr="00F927B7">
              <w:rPr>
                <w:rFonts w:asciiTheme="minorHAnsi" w:hAnsiTheme="minorHAnsi" w:cstheme="minorHAnsi"/>
                <w:bCs/>
                <w:i/>
                <w:sz w:val="16"/>
                <w:szCs w:val="16"/>
                <w:lang w:val="ro-RO"/>
              </w:rPr>
              <w:t xml:space="preserve">, </w:t>
            </w:r>
            <w:proofErr w:type="spellStart"/>
            <w:r w:rsidRPr="00F927B7">
              <w:rPr>
                <w:rFonts w:asciiTheme="minorHAnsi" w:hAnsiTheme="minorHAnsi" w:cstheme="minorHAnsi"/>
                <w:bCs/>
                <w:i/>
                <w:sz w:val="16"/>
                <w:szCs w:val="16"/>
                <w:lang w:val="ro-RO"/>
              </w:rPr>
              <w:t>Benefits</w:t>
            </w:r>
            <w:proofErr w:type="spellEnd"/>
            <w:r w:rsidRPr="00F927B7">
              <w:rPr>
                <w:rFonts w:asciiTheme="minorHAnsi" w:hAnsiTheme="minorHAnsi" w:cstheme="minorHAnsi"/>
                <w:bCs/>
                <w:i/>
                <w:sz w:val="16"/>
                <w:szCs w:val="16"/>
                <w:lang w:val="ro-RO"/>
              </w:rPr>
              <w:t xml:space="preserve"> &amp; Total </w:t>
            </w:r>
            <w:proofErr w:type="spellStart"/>
            <w:r w:rsidRPr="00F927B7">
              <w:rPr>
                <w:rFonts w:asciiTheme="minorHAnsi" w:hAnsiTheme="minorHAnsi" w:cstheme="minorHAnsi"/>
                <w:bCs/>
                <w:i/>
                <w:sz w:val="16"/>
                <w:szCs w:val="16"/>
                <w:lang w:val="ro-RO"/>
              </w:rPr>
              <w:t>Rewards</w:t>
            </w:r>
            <w:proofErr w:type="spellEnd"/>
            <w:r w:rsidRPr="00F927B7">
              <w:rPr>
                <w:rFonts w:asciiTheme="minorHAnsi" w:hAnsiTheme="minorHAnsi" w:cstheme="minorHAnsi"/>
                <w:bCs/>
                <w:i/>
                <w:sz w:val="16"/>
                <w:szCs w:val="16"/>
                <w:lang w:val="ro-RO"/>
              </w:rPr>
              <w:t xml:space="preserve">, John </w:t>
            </w:r>
            <w:proofErr w:type="spellStart"/>
            <w:r w:rsidRPr="00F927B7">
              <w:rPr>
                <w:rFonts w:asciiTheme="minorHAnsi" w:hAnsiTheme="minorHAnsi" w:cstheme="minorHAnsi"/>
                <w:bCs/>
                <w:i/>
                <w:sz w:val="16"/>
                <w:szCs w:val="16"/>
                <w:lang w:val="ro-RO"/>
              </w:rPr>
              <w:t>Wiley</w:t>
            </w:r>
            <w:proofErr w:type="spellEnd"/>
            <w:r w:rsidRPr="00F927B7">
              <w:rPr>
                <w:rFonts w:asciiTheme="minorHAnsi" w:hAnsiTheme="minorHAnsi" w:cstheme="minorHAnsi"/>
                <w:bCs/>
                <w:i/>
                <w:sz w:val="16"/>
                <w:szCs w:val="16"/>
                <w:lang w:val="ro-RO"/>
              </w:rPr>
              <w:t xml:space="preserve"> &amp; </w:t>
            </w:r>
            <w:proofErr w:type="spellStart"/>
            <w:r w:rsidRPr="00F927B7">
              <w:rPr>
                <w:rFonts w:asciiTheme="minorHAnsi" w:hAnsiTheme="minorHAnsi" w:cstheme="minorHAnsi"/>
                <w:bCs/>
                <w:i/>
                <w:sz w:val="16"/>
                <w:szCs w:val="16"/>
                <w:lang w:val="ro-RO"/>
              </w:rPr>
              <w:t>Sons</w:t>
            </w:r>
            <w:proofErr w:type="spellEnd"/>
            <w:r w:rsidRPr="00F927B7">
              <w:rPr>
                <w:rFonts w:asciiTheme="minorHAnsi" w:hAnsiTheme="minorHAnsi" w:cstheme="minorHAnsi"/>
                <w:bCs/>
                <w:i/>
                <w:sz w:val="16"/>
                <w:szCs w:val="16"/>
                <w:lang w:val="ro-RO"/>
              </w:rPr>
              <w:t xml:space="preserve"> (disponibila in varianta electronica)</w:t>
            </w:r>
          </w:p>
          <w:p w14:paraId="7077E61B" w14:textId="77777777" w:rsidR="001D7686" w:rsidRPr="00F8655A" w:rsidRDefault="001D7686" w:rsidP="001D7686">
            <w:pPr>
              <w:pStyle w:val="NoSpacing"/>
              <w:rPr>
                <w:rFonts w:asciiTheme="minorHAnsi" w:hAnsiTheme="minorHAnsi" w:cstheme="minorHAnsi"/>
                <w:b/>
                <w:i/>
                <w:sz w:val="16"/>
                <w:szCs w:val="16"/>
                <w:lang w:val="ro-RO"/>
              </w:rPr>
            </w:pPr>
            <w:r w:rsidRPr="00F8655A">
              <w:rPr>
                <w:rFonts w:asciiTheme="minorHAnsi" w:hAnsiTheme="minorHAnsi" w:cstheme="minorHAnsi"/>
                <w:b/>
                <w:i/>
                <w:sz w:val="16"/>
                <w:szCs w:val="16"/>
                <w:lang w:val="ro-RO"/>
              </w:rPr>
              <w:t>Lecturi opționale</w:t>
            </w:r>
          </w:p>
          <w:p w14:paraId="42C38FD2" w14:textId="77777777" w:rsidR="001D7686" w:rsidRPr="00F927B7" w:rsidRDefault="001D7686" w:rsidP="001D7686">
            <w:pPr>
              <w:pStyle w:val="NoSpacing"/>
              <w:rPr>
                <w:rFonts w:asciiTheme="minorHAnsi" w:hAnsiTheme="minorHAnsi" w:cstheme="minorHAnsi"/>
                <w:i/>
                <w:sz w:val="16"/>
                <w:szCs w:val="16"/>
                <w:lang w:val="ro-RO"/>
              </w:rPr>
            </w:pPr>
            <w:r w:rsidRPr="00F927B7">
              <w:rPr>
                <w:rFonts w:asciiTheme="minorHAnsi" w:hAnsiTheme="minorHAnsi" w:cstheme="minorHAnsi"/>
                <w:i/>
                <w:sz w:val="16"/>
                <w:szCs w:val="16"/>
                <w:lang w:val="ro-RO"/>
              </w:rPr>
              <w:t xml:space="preserve">Capitolul 13 – “A </w:t>
            </w:r>
            <w:proofErr w:type="spellStart"/>
            <w:r w:rsidRPr="00F927B7">
              <w:rPr>
                <w:rFonts w:asciiTheme="minorHAnsi" w:hAnsiTheme="minorHAnsi" w:cstheme="minorHAnsi"/>
                <w:i/>
                <w:sz w:val="16"/>
                <w:szCs w:val="16"/>
                <w:lang w:val="ro-RO"/>
              </w:rPr>
              <w:t>pay</w:t>
            </w:r>
            <w:proofErr w:type="spellEnd"/>
            <w:r w:rsidRPr="00F927B7">
              <w:rPr>
                <w:rFonts w:asciiTheme="minorHAnsi" w:hAnsiTheme="minorHAnsi" w:cstheme="minorHAnsi"/>
                <w:i/>
                <w:sz w:val="16"/>
                <w:szCs w:val="16"/>
                <w:lang w:val="ro-RO"/>
              </w:rPr>
              <w:t xml:space="preserve"> for performance model” din </w:t>
            </w:r>
            <w:proofErr w:type="spellStart"/>
            <w:r w:rsidRPr="00F927B7">
              <w:rPr>
                <w:rFonts w:asciiTheme="minorHAnsi" w:hAnsiTheme="minorHAnsi" w:cstheme="minorHAnsi"/>
                <w:i/>
                <w:sz w:val="16"/>
                <w:szCs w:val="16"/>
                <w:lang w:val="ro-RO"/>
              </w:rPr>
              <w:t>Chingos</w:t>
            </w:r>
            <w:proofErr w:type="spellEnd"/>
            <w:r w:rsidRPr="00F927B7">
              <w:rPr>
                <w:rFonts w:asciiTheme="minorHAnsi" w:hAnsiTheme="minorHAnsi" w:cstheme="minorHAnsi"/>
                <w:i/>
                <w:sz w:val="16"/>
                <w:szCs w:val="16"/>
                <w:lang w:val="ro-RO"/>
              </w:rPr>
              <w:t xml:space="preserve">, P. (2002), </w:t>
            </w:r>
            <w:proofErr w:type="spellStart"/>
            <w:r w:rsidRPr="00F927B7">
              <w:rPr>
                <w:rFonts w:asciiTheme="minorHAnsi" w:hAnsiTheme="minorHAnsi" w:cstheme="minorHAnsi"/>
                <w:i/>
                <w:sz w:val="16"/>
                <w:szCs w:val="16"/>
                <w:lang w:val="ro-RO"/>
              </w:rPr>
              <w:t>Paying</w:t>
            </w:r>
            <w:proofErr w:type="spellEnd"/>
            <w:r w:rsidRPr="00F927B7">
              <w:rPr>
                <w:rFonts w:asciiTheme="minorHAnsi" w:hAnsiTheme="minorHAnsi" w:cstheme="minorHAnsi"/>
                <w:i/>
                <w:sz w:val="16"/>
                <w:szCs w:val="16"/>
                <w:lang w:val="ro-RO"/>
              </w:rPr>
              <w:t xml:space="preserve">  for performance: A </w:t>
            </w:r>
            <w:proofErr w:type="spellStart"/>
            <w:r w:rsidRPr="00F927B7">
              <w:rPr>
                <w:rFonts w:asciiTheme="minorHAnsi" w:hAnsiTheme="minorHAnsi" w:cstheme="minorHAnsi"/>
                <w:i/>
                <w:sz w:val="16"/>
                <w:szCs w:val="16"/>
                <w:lang w:val="ro-RO"/>
              </w:rPr>
              <w:t>guide</w:t>
            </w:r>
            <w:proofErr w:type="spellEnd"/>
            <w:r w:rsidRPr="00F927B7">
              <w:rPr>
                <w:rFonts w:asciiTheme="minorHAnsi" w:hAnsiTheme="minorHAnsi" w:cstheme="minorHAnsi"/>
                <w:i/>
                <w:sz w:val="16"/>
                <w:szCs w:val="16"/>
                <w:lang w:val="ro-RO"/>
              </w:rPr>
              <w:t xml:space="preserve"> </w:t>
            </w:r>
            <w:proofErr w:type="spellStart"/>
            <w:r w:rsidRPr="00F927B7">
              <w:rPr>
                <w:rFonts w:asciiTheme="minorHAnsi" w:hAnsiTheme="minorHAnsi" w:cstheme="minorHAnsi"/>
                <w:i/>
                <w:sz w:val="16"/>
                <w:szCs w:val="16"/>
                <w:lang w:val="ro-RO"/>
              </w:rPr>
              <w:t>to</w:t>
            </w:r>
            <w:proofErr w:type="spellEnd"/>
            <w:r w:rsidRPr="00F927B7">
              <w:rPr>
                <w:rFonts w:asciiTheme="minorHAnsi" w:hAnsiTheme="minorHAnsi" w:cstheme="minorHAnsi"/>
                <w:i/>
                <w:sz w:val="16"/>
                <w:szCs w:val="16"/>
                <w:lang w:val="ro-RO"/>
              </w:rPr>
              <w:t xml:space="preserve"> </w:t>
            </w:r>
            <w:proofErr w:type="spellStart"/>
            <w:r w:rsidRPr="00F927B7">
              <w:rPr>
                <w:rFonts w:asciiTheme="minorHAnsi" w:hAnsiTheme="minorHAnsi" w:cstheme="minorHAnsi"/>
                <w:i/>
                <w:sz w:val="16"/>
                <w:szCs w:val="16"/>
                <w:lang w:val="ro-RO"/>
              </w:rPr>
              <w:t>compensation</w:t>
            </w:r>
            <w:proofErr w:type="spellEnd"/>
            <w:r w:rsidRPr="00F927B7">
              <w:rPr>
                <w:rFonts w:asciiTheme="minorHAnsi" w:hAnsiTheme="minorHAnsi" w:cstheme="minorHAnsi"/>
                <w:i/>
                <w:sz w:val="16"/>
                <w:szCs w:val="16"/>
                <w:lang w:val="ro-RO"/>
              </w:rPr>
              <w:t xml:space="preserve"> management, John </w:t>
            </w:r>
            <w:proofErr w:type="spellStart"/>
            <w:r w:rsidRPr="00F927B7">
              <w:rPr>
                <w:rFonts w:asciiTheme="minorHAnsi" w:hAnsiTheme="minorHAnsi" w:cstheme="minorHAnsi"/>
                <w:i/>
                <w:sz w:val="16"/>
                <w:szCs w:val="16"/>
                <w:lang w:val="ro-RO"/>
              </w:rPr>
              <w:t>Wiley</w:t>
            </w:r>
            <w:proofErr w:type="spellEnd"/>
            <w:r w:rsidRPr="00F927B7">
              <w:rPr>
                <w:rFonts w:asciiTheme="minorHAnsi" w:hAnsiTheme="minorHAnsi" w:cstheme="minorHAnsi"/>
                <w:i/>
                <w:sz w:val="16"/>
                <w:szCs w:val="16"/>
                <w:lang w:val="ro-RO"/>
              </w:rPr>
              <w:t xml:space="preserve"> &amp; </w:t>
            </w:r>
            <w:proofErr w:type="spellStart"/>
            <w:r w:rsidRPr="00F927B7">
              <w:rPr>
                <w:rFonts w:asciiTheme="minorHAnsi" w:hAnsiTheme="minorHAnsi" w:cstheme="minorHAnsi"/>
                <w:i/>
                <w:sz w:val="16"/>
                <w:szCs w:val="16"/>
                <w:lang w:val="ro-RO"/>
              </w:rPr>
              <w:t>Sons</w:t>
            </w:r>
            <w:proofErr w:type="spellEnd"/>
            <w:r w:rsidRPr="00F927B7">
              <w:rPr>
                <w:rFonts w:asciiTheme="minorHAnsi" w:hAnsiTheme="minorHAnsi" w:cstheme="minorHAnsi"/>
                <w:i/>
                <w:sz w:val="16"/>
                <w:szCs w:val="16"/>
                <w:lang w:val="ro-RO"/>
              </w:rPr>
              <w:t xml:space="preserve"> (disponibila in varianta electronica)</w:t>
            </w:r>
          </w:p>
          <w:p w14:paraId="0D7E1B56" w14:textId="6371486C" w:rsidR="001D7686" w:rsidRPr="00F927B7" w:rsidRDefault="001D7686" w:rsidP="001D7686">
            <w:pPr>
              <w:pStyle w:val="NoSpacing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i/>
                <w:sz w:val="16"/>
                <w:szCs w:val="16"/>
                <w:lang w:val="ro-RO"/>
              </w:rPr>
              <w:t>Capitolul 2 „</w:t>
            </w:r>
            <w:proofErr w:type="spellStart"/>
            <w:r w:rsidRPr="00F927B7">
              <w:rPr>
                <w:rFonts w:asciiTheme="minorHAnsi" w:hAnsiTheme="minorHAnsi" w:cstheme="minorHAnsi"/>
                <w:i/>
                <w:sz w:val="16"/>
                <w:szCs w:val="16"/>
                <w:lang w:val="ro-RO"/>
              </w:rPr>
              <w:t>Sales</w:t>
            </w:r>
            <w:proofErr w:type="spellEnd"/>
            <w:r w:rsidRPr="00F927B7">
              <w:rPr>
                <w:rFonts w:asciiTheme="minorHAnsi" w:hAnsiTheme="minorHAnsi" w:cstheme="minorHAnsi"/>
                <w:i/>
                <w:sz w:val="16"/>
                <w:szCs w:val="16"/>
                <w:lang w:val="ro-RO"/>
              </w:rPr>
              <w:t xml:space="preserve"> </w:t>
            </w:r>
            <w:proofErr w:type="spellStart"/>
            <w:r w:rsidRPr="00F927B7">
              <w:rPr>
                <w:rFonts w:asciiTheme="minorHAnsi" w:hAnsiTheme="minorHAnsi" w:cstheme="minorHAnsi"/>
                <w:i/>
                <w:sz w:val="16"/>
                <w:szCs w:val="16"/>
                <w:lang w:val="ro-RO"/>
              </w:rPr>
              <w:t>compensation</w:t>
            </w:r>
            <w:proofErr w:type="spellEnd"/>
            <w:r w:rsidRPr="00F927B7">
              <w:rPr>
                <w:rFonts w:asciiTheme="minorHAnsi" w:hAnsiTheme="minorHAnsi" w:cstheme="minorHAnsi"/>
                <w:i/>
                <w:sz w:val="16"/>
                <w:szCs w:val="16"/>
                <w:lang w:val="ro-RO"/>
              </w:rPr>
              <w:t xml:space="preserve"> </w:t>
            </w:r>
            <w:proofErr w:type="spellStart"/>
            <w:r w:rsidRPr="00F927B7">
              <w:rPr>
                <w:rFonts w:asciiTheme="minorHAnsi" w:hAnsiTheme="minorHAnsi" w:cstheme="minorHAnsi"/>
                <w:i/>
                <w:sz w:val="16"/>
                <w:szCs w:val="16"/>
                <w:lang w:val="ro-RO"/>
              </w:rPr>
              <w:t>fundamentals</w:t>
            </w:r>
            <w:proofErr w:type="spellEnd"/>
            <w:r w:rsidRPr="00F927B7">
              <w:rPr>
                <w:rFonts w:asciiTheme="minorHAnsi" w:hAnsiTheme="minorHAnsi" w:cstheme="minorHAnsi"/>
                <w:i/>
                <w:sz w:val="16"/>
                <w:szCs w:val="16"/>
                <w:lang w:val="ro-RO"/>
              </w:rPr>
              <w:t xml:space="preserve">” din </w:t>
            </w:r>
            <w:proofErr w:type="spellStart"/>
            <w:r w:rsidRPr="00F927B7">
              <w:rPr>
                <w:rFonts w:asciiTheme="minorHAnsi" w:hAnsiTheme="minorHAnsi" w:cstheme="minorHAnsi"/>
                <w:i/>
                <w:sz w:val="16"/>
                <w:szCs w:val="16"/>
                <w:lang w:val="ro-RO"/>
              </w:rPr>
              <w:t>Chichelli</w:t>
            </w:r>
            <w:proofErr w:type="spellEnd"/>
            <w:r w:rsidRPr="00F927B7">
              <w:rPr>
                <w:rFonts w:asciiTheme="minorHAnsi" w:hAnsiTheme="minorHAnsi" w:cstheme="minorHAnsi"/>
                <w:i/>
                <w:sz w:val="16"/>
                <w:szCs w:val="16"/>
                <w:lang w:val="ro-RO"/>
              </w:rPr>
              <w:t xml:space="preserve">, D. (2004), </w:t>
            </w:r>
            <w:proofErr w:type="spellStart"/>
            <w:r w:rsidRPr="00F927B7">
              <w:rPr>
                <w:rFonts w:asciiTheme="minorHAnsi" w:hAnsiTheme="minorHAnsi" w:cstheme="minorHAnsi"/>
                <w:i/>
                <w:sz w:val="16"/>
                <w:szCs w:val="16"/>
                <w:lang w:val="ro-RO"/>
              </w:rPr>
              <w:t>Compensating</w:t>
            </w:r>
            <w:proofErr w:type="spellEnd"/>
            <w:r w:rsidRPr="00F927B7">
              <w:rPr>
                <w:rFonts w:asciiTheme="minorHAnsi" w:hAnsiTheme="minorHAnsi" w:cstheme="minorHAnsi"/>
                <w:i/>
                <w:sz w:val="16"/>
                <w:szCs w:val="16"/>
                <w:lang w:val="ro-RO"/>
              </w:rPr>
              <w:t xml:space="preserve"> </w:t>
            </w:r>
            <w:proofErr w:type="spellStart"/>
            <w:r w:rsidRPr="00F927B7">
              <w:rPr>
                <w:rFonts w:asciiTheme="minorHAnsi" w:hAnsiTheme="minorHAnsi" w:cstheme="minorHAnsi"/>
                <w:i/>
                <w:sz w:val="16"/>
                <w:szCs w:val="16"/>
                <w:lang w:val="ro-RO"/>
              </w:rPr>
              <w:t>the</w:t>
            </w:r>
            <w:proofErr w:type="spellEnd"/>
            <w:r w:rsidRPr="00F927B7">
              <w:rPr>
                <w:rFonts w:asciiTheme="minorHAnsi" w:hAnsiTheme="minorHAnsi" w:cstheme="minorHAnsi"/>
                <w:i/>
                <w:sz w:val="16"/>
                <w:szCs w:val="16"/>
                <w:lang w:val="ro-RO"/>
              </w:rPr>
              <w:t xml:space="preserve"> </w:t>
            </w:r>
            <w:proofErr w:type="spellStart"/>
            <w:r w:rsidRPr="00F927B7">
              <w:rPr>
                <w:rFonts w:asciiTheme="minorHAnsi" w:hAnsiTheme="minorHAnsi" w:cstheme="minorHAnsi"/>
                <w:i/>
                <w:sz w:val="16"/>
                <w:szCs w:val="16"/>
                <w:lang w:val="ro-RO"/>
              </w:rPr>
              <w:t>sales</w:t>
            </w:r>
            <w:proofErr w:type="spellEnd"/>
            <w:r w:rsidRPr="00F927B7">
              <w:rPr>
                <w:rFonts w:asciiTheme="minorHAnsi" w:hAnsiTheme="minorHAnsi" w:cstheme="minorHAnsi"/>
                <w:i/>
                <w:sz w:val="16"/>
                <w:szCs w:val="16"/>
                <w:lang w:val="ro-RO"/>
              </w:rPr>
              <w:t xml:space="preserve"> </w:t>
            </w:r>
            <w:proofErr w:type="spellStart"/>
            <w:r w:rsidRPr="00F927B7">
              <w:rPr>
                <w:rFonts w:asciiTheme="minorHAnsi" w:hAnsiTheme="minorHAnsi" w:cstheme="minorHAnsi"/>
                <w:i/>
                <w:sz w:val="16"/>
                <w:szCs w:val="16"/>
                <w:lang w:val="ro-RO"/>
              </w:rPr>
              <w:t>force</w:t>
            </w:r>
            <w:proofErr w:type="spellEnd"/>
            <w:r w:rsidRPr="00F927B7">
              <w:rPr>
                <w:rFonts w:asciiTheme="minorHAnsi" w:hAnsiTheme="minorHAnsi" w:cstheme="minorHAnsi"/>
                <w:i/>
                <w:sz w:val="16"/>
                <w:szCs w:val="16"/>
                <w:lang w:val="ro-RO"/>
              </w:rPr>
              <w:t xml:space="preserve">, </w:t>
            </w:r>
            <w:proofErr w:type="spellStart"/>
            <w:r w:rsidRPr="00F927B7">
              <w:rPr>
                <w:rFonts w:asciiTheme="minorHAnsi" w:hAnsiTheme="minorHAnsi" w:cstheme="minorHAnsi"/>
                <w:i/>
                <w:sz w:val="16"/>
                <w:szCs w:val="16"/>
                <w:lang w:val="ro-RO"/>
              </w:rPr>
              <w:t>McGraw</w:t>
            </w:r>
            <w:proofErr w:type="spellEnd"/>
            <w:r w:rsidRPr="00F927B7">
              <w:rPr>
                <w:rFonts w:asciiTheme="minorHAnsi" w:hAnsiTheme="minorHAnsi" w:cstheme="minorHAnsi"/>
                <w:i/>
                <w:sz w:val="16"/>
                <w:szCs w:val="16"/>
                <w:lang w:val="ro-RO"/>
              </w:rPr>
              <w:t xml:space="preserve"> Hill (disponibila in varianta electronica)</w:t>
            </w:r>
          </w:p>
        </w:tc>
      </w:tr>
    </w:tbl>
    <w:p w14:paraId="3AC2B50D" w14:textId="593D37CE" w:rsidR="00075093" w:rsidRDefault="00075093" w:rsidP="001D7686">
      <w:pPr>
        <w:pStyle w:val="NoSpacing"/>
        <w:jc w:val="both"/>
        <w:rPr>
          <w:rFonts w:cs="Calibri"/>
          <w:lang w:val="ro-RO"/>
        </w:rPr>
      </w:pPr>
    </w:p>
    <w:p w14:paraId="1C92C8F3" w14:textId="77777777" w:rsidR="00075093" w:rsidRDefault="00075093">
      <w:pPr>
        <w:rPr>
          <w:rFonts w:ascii="Calibri" w:hAnsi="Calibri" w:cs="Calibri"/>
          <w:sz w:val="22"/>
          <w:szCs w:val="22"/>
          <w:lang w:eastAsia="en-US"/>
        </w:rPr>
      </w:pPr>
      <w:r>
        <w:rPr>
          <w:rFonts w:cs="Calibri"/>
        </w:rPr>
        <w:br w:type="page"/>
      </w:r>
    </w:p>
    <w:p w14:paraId="0C6D5407" w14:textId="77777777" w:rsidR="006B5128" w:rsidRDefault="006B5128" w:rsidP="001D7686">
      <w:pPr>
        <w:pStyle w:val="NoSpacing"/>
        <w:jc w:val="both"/>
        <w:rPr>
          <w:rFonts w:cs="Calibri"/>
          <w:lang w:val="ro-RO"/>
        </w:rPr>
      </w:pPr>
    </w:p>
    <w:p w14:paraId="06E5899B" w14:textId="77777777" w:rsidR="006B5128" w:rsidRPr="00F927B7" w:rsidRDefault="006B5128" w:rsidP="0007509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lang w:val="ro-RO"/>
        </w:rPr>
      </w:pPr>
      <w:r w:rsidRPr="00F927B7">
        <w:rPr>
          <w:rFonts w:asciiTheme="minorHAnsi" w:hAnsiTheme="minorHAnsi" w:cstheme="minorHAnsi"/>
          <w:lang w:val="ro-RO"/>
        </w:rPr>
        <w:t>Bibliografie :</w:t>
      </w:r>
    </w:p>
    <w:p w14:paraId="566ABF18" w14:textId="77777777" w:rsidR="006B5128" w:rsidRPr="00F927B7" w:rsidRDefault="006B5128" w:rsidP="0007509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16"/>
          <w:szCs w:val="16"/>
          <w:lang w:val="ro-RO"/>
        </w:rPr>
      </w:pPr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*** (2007), The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WorldatWork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Handbook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of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Compensation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,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Benefits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&amp; Total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Rewards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, John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Wiley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&amp;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Sons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(disponibila in varianta electronica)</w:t>
      </w:r>
    </w:p>
    <w:p w14:paraId="5831D016" w14:textId="77777777" w:rsidR="006B5128" w:rsidRPr="00F927B7" w:rsidRDefault="006B5128" w:rsidP="0007509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16"/>
          <w:szCs w:val="16"/>
          <w:lang w:val="ro-RO"/>
        </w:rPr>
      </w:pPr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*** (2020)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CapGemini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Research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Institute: The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future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of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work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–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from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remote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to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hybrid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.   </w:t>
      </w:r>
      <w:hyperlink r:id="rId13" w:history="1">
        <w:r w:rsidRPr="00F927B7">
          <w:rPr>
            <w:rStyle w:val="Hyperlink"/>
            <w:rFonts w:asciiTheme="minorHAnsi" w:hAnsiTheme="minorHAnsi" w:cstheme="minorHAnsi"/>
            <w:sz w:val="16"/>
            <w:szCs w:val="16"/>
            <w:lang w:val="ro-RO"/>
          </w:rPr>
          <w:t>https://www.capgemini.com/research/the-future-of-work/</w:t>
        </w:r>
      </w:hyperlink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? </w:t>
      </w:r>
    </w:p>
    <w:p w14:paraId="0A08CA11" w14:textId="77777777" w:rsidR="006B5128" w:rsidRPr="00F927B7" w:rsidRDefault="006B5128" w:rsidP="0007509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16"/>
          <w:szCs w:val="16"/>
          <w:lang w:val="ro-RO"/>
        </w:rPr>
      </w:pPr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*** (2025) The World Economic Forum: The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Future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of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Jobs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Report 2025, </w:t>
      </w:r>
      <w:hyperlink r:id="rId14" w:history="1">
        <w:r w:rsidRPr="00F927B7">
          <w:rPr>
            <w:rStyle w:val="Hyperlink"/>
            <w:rFonts w:asciiTheme="minorHAnsi" w:hAnsiTheme="minorHAnsi" w:cstheme="minorHAnsi"/>
            <w:sz w:val="16"/>
            <w:szCs w:val="16"/>
            <w:lang w:val="ro-RO"/>
          </w:rPr>
          <w:t>https://www.weforum.org/reports/the-future-of-jobs-report-2020</w:t>
        </w:r>
      </w:hyperlink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</w:p>
    <w:p w14:paraId="0E3C9B23" w14:textId="77777777" w:rsidR="006B5128" w:rsidRPr="00F927B7" w:rsidRDefault="006B5128" w:rsidP="0007509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16"/>
          <w:szCs w:val="16"/>
          <w:lang w:val="ro-RO"/>
        </w:rPr>
      </w:pPr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*** (2020)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What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is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HR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Analytics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? </w:t>
      </w:r>
      <w:hyperlink r:id="rId15" w:history="1">
        <w:r w:rsidRPr="00F927B7">
          <w:rPr>
            <w:rStyle w:val="Hyperlink"/>
            <w:rFonts w:asciiTheme="minorHAnsi" w:hAnsiTheme="minorHAnsi" w:cstheme="minorHAnsi"/>
            <w:sz w:val="16"/>
            <w:szCs w:val="16"/>
            <w:lang w:val="ro-RO"/>
          </w:rPr>
          <w:t>https://www.analyticsinhr.com/blog/hr-analytics-courses/</w:t>
        </w:r>
      </w:hyperlink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</w:p>
    <w:p w14:paraId="46184097" w14:textId="77777777" w:rsidR="006B5128" w:rsidRPr="00F927B7" w:rsidRDefault="006B5128" w:rsidP="0007509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18"/>
          <w:szCs w:val="18"/>
          <w:lang w:val="ro-RO"/>
        </w:rPr>
      </w:pPr>
      <w:r w:rsidRPr="00F927B7">
        <w:rPr>
          <w:rFonts w:asciiTheme="minorHAnsi" w:hAnsiTheme="minorHAnsi" w:cstheme="minorHAnsi"/>
          <w:sz w:val="18"/>
          <w:szCs w:val="18"/>
          <w:lang w:val="ro-RO"/>
        </w:rPr>
        <w:t xml:space="preserve">*** (2023) </w:t>
      </w:r>
      <w:proofErr w:type="spellStart"/>
      <w:r w:rsidRPr="00F927B7">
        <w:rPr>
          <w:rFonts w:asciiTheme="minorHAnsi" w:hAnsiTheme="minorHAnsi" w:cstheme="minorHAnsi"/>
          <w:sz w:val="18"/>
          <w:szCs w:val="18"/>
          <w:lang w:val="ro-RO"/>
        </w:rPr>
        <w:t>Ejobs</w:t>
      </w:r>
      <w:proofErr w:type="spellEnd"/>
      <w:r w:rsidRPr="00F927B7">
        <w:rPr>
          <w:rFonts w:asciiTheme="minorHAnsi" w:hAnsiTheme="minorHAnsi" w:cstheme="minorHAnsi"/>
          <w:sz w:val="18"/>
          <w:szCs w:val="18"/>
          <w:lang w:val="ro-RO"/>
        </w:rPr>
        <w:t>-HR REVIEW &amp; TRENDS, Raportul industriei de recrutare din România, edi</w:t>
      </w:r>
      <w:r>
        <w:rPr>
          <w:rFonts w:asciiTheme="minorHAnsi" w:hAnsiTheme="minorHAnsi" w:cstheme="minorHAnsi"/>
          <w:sz w:val="18"/>
          <w:szCs w:val="18"/>
          <w:lang w:val="ro-RO"/>
        </w:rPr>
        <w:t>ț</w:t>
      </w:r>
      <w:r w:rsidRPr="00F927B7">
        <w:rPr>
          <w:rFonts w:asciiTheme="minorHAnsi" w:hAnsiTheme="minorHAnsi" w:cstheme="minorHAnsi"/>
          <w:sz w:val="18"/>
          <w:szCs w:val="18"/>
          <w:lang w:val="ro-RO"/>
        </w:rPr>
        <w:t>ia 2023 (ejobs.ro)</w:t>
      </w:r>
    </w:p>
    <w:p w14:paraId="2B72C782" w14:textId="4C31E48B" w:rsidR="006B5128" w:rsidRPr="00F927B7" w:rsidRDefault="006B5128" w:rsidP="00B850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16"/>
          <w:szCs w:val="16"/>
        </w:rPr>
      </w:pPr>
      <w:r w:rsidRPr="00F927B7">
        <w:rPr>
          <w:rFonts w:asciiTheme="minorHAnsi" w:hAnsiTheme="minorHAnsi" w:cstheme="minorHAnsi"/>
          <w:sz w:val="18"/>
          <w:szCs w:val="18"/>
        </w:rPr>
        <w:t>*** (202</w:t>
      </w:r>
      <w:r w:rsidR="00B850CE">
        <w:rPr>
          <w:rFonts w:asciiTheme="minorHAnsi" w:hAnsiTheme="minorHAnsi" w:cstheme="minorHAnsi"/>
          <w:sz w:val="18"/>
          <w:szCs w:val="18"/>
        </w:rPr>
        <w:t>6</w:t>
      </w:r>
      <w:r w:rsidRPr="00F927B7">
        <w:rPr>
          <w:rFonts w:asciiTheme="minorHAnsi" w:hAnsiTheme="minorHAnsi" w:cstheme="minorHAnsi"/>
          <w:sz w:val="18"/>
          <w:szCs w:val="18"/>
        </w:rPr>
        <w:t xml:space="preserve">) </w:t>
      </w:r>
      <w:r w:rsidR="00B850CE" w:rsidRPr="00B850CE">
        <w:rPr>
          <w:rFonts w:asciiTheme="minorHAnsi" w:hAnsiTheme="minorHAnsi" w:cstheme="minorHAnsi"/>
          <w:b/>
          <w:bCs/>
          <w:sz w:val="16"/>
          <w:szCs w:val="16"/>
        </w:rPr>
        <w:t xml:space="preserve">11 HR </w:t>
      </w:r>
      <w:proofErr w:type="spellStart"/>
      <w:r w:rsidR="00B850CE" w:rsidRPr="00B850CE">
        <w:rPr>
          <w:rFonts w:asciiTheme="minorHAnsi" w:hAnsiTheme="minorHAnsi" w:cstheme="minorHAnsi"/>
          <w:b/>
          <w:bCs/>
          <w:sz w:val="16"/>
          <w:szCs w:val="16"/>
        </w:rPr>
        <w:t>Trends</w:t>
      </w:r>
      <w:proofErr w:type="spellEnd"/>
      <w:r w:rsidR="00B850CE" w:rsidRPr="00B850CE">
        <w:rPr>
          <w:rFonts w:asciiTheme="minorHAnsi" w:hAnsiTheme="minorHAnsi" w:cstheme="minorHAnsi"/>
          <w:b/>
          <w:bCs/>
          <w:sz w:val="16"/>
          <w:szCs w:val="16"/>
        </w:rPr>
        <w:t xml:space="preserve"> for 2026: </w:t>
      </w:r>
      <w:proofErr w:type="spellStart"/>
      <w:r w:rsidR="00B850CE" w:rsidRPr="00B850CE">
        <w:rPr>
          <w:rFonts w:asciiTheme="minorHAnsi" w:hAnsiTheme="minorHAnsi" w:cstheme="minorHAnsi"/>
          <w:b/>
          <w:bCs/>
          <w:sz w:val="16"/>
          <w:szCs w:val="16"/>
        </w:rPr>
        <w:t>Shaping</w:t>
      </w:r>
      <w:proofErr w:type="spellEnd"/>
      <w:r w:rsidR="00B850CE" w:rsidRPr="00B850CE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proofErr w:type="spellStart"/>
      <w:r w:rsidR="00B850CE" w:rsidRPr="00B850CE">
        <w:rPr>
          <w:rFonts w:asciiTheme="minorHAnsi" w:hAnsiTheme="minorHAnsi" w:cstheme="minorHAnsi"/>
          <w:b/>
          <w:bCs/>
          <w:sz w:val="16"/>
          <w:szCs w:val="16"/>
        </w:rPr>
        <w:t>What’s</w:t>
      </w:r>
      <w:proofErr w:type="spellEnd"/>
      <w:r w:rsidR="00B850CE" w:rsidRPr="00B850CE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proofErr w:type="spellStart"/>
      <w:r w:rsidR="00B850CE" w:rsidRPr="00B850CE">
        <w:rPr>
          <w:rFonts w:asciiTheme="minorHAnsi" w:hAnsiTheme="minorHAnsi" w:cstheme="minorHAnsi"/>
          <w:b/>
          <w:bCs/>
          <w:sz w:val="16"/>
          <w:szCs w:val="16"/>
        </w:rPr>
        <w:t>Next</w:t>
      </w:r>
      <w:proofErr w:type="spellEnd"/>
      <w:r w:rsidRPr="00F927B7">
        <w:rPr>
          <w:rFonts w:asciiTheme="minorHAnsi" w:hAnsiTheme="minorHAnsi" w:cstheme="minorHAnsi"/>
          <w:sz w:val="16"/>
          <w:szCs w:val="16"/>
        </w:rPr>
        <w:t>, AIHR (</w:t>
      </w:r>
      <w:hyperlink r:id="rId16" w:history="1">
        <w:r w:rsidRPr="00F927B7">
          <w:rPr>
            <w:rStyle w:val="Hyperlink"/>
            <w:rFonts w:asciiTheme="minorHAnsi" w:hAnsiTheme="minorHAnsi" w:cstheme="minorHAnsi"/>
            <w:sz w:val="16"/>
            <w:szCs w:val="16"/>
          </w:rPr>
          <w:t>https://www.aihr.com/blog/hr-trends/</w:t>
        </w:r>
      </w:hyperlink>
      <w:r w:rsidRPr="00F927B7">
        <w:rPr>
          <w:rFonts w:asciiTheme="minorHAnsi" w:hAnsiTheme="minorHAnsi" w:cstheme="minorHAnsi"/>
          <w:sz w:val="16"/>
          <w:szCs w:val="16"/>
        </w:rPr>
        <w:t>)</w:t>
      </w:r>
    </w:p>
    <w:p w14:paraId="6D5C9A38" w14:textId="4E1CA97E" w:rsidR="006B5128" w:rsidRPr="00F927B7" w:rsidRDefault="006B5128" w:rsidP="0007509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18"/>
          <w:szCs w:val="18"/>
          <w:lang w:val="ro-RO"/>
        </w:rPr>
      </w:pPr>
      <w:r w:rsidRPr="00F927B7">
        <w:rPr>
          <w:rFonts w:asciiTheme="minorHAnsi" w:hAnsiTheme="minorHAnsi" w:cstheme="minorHAnsi"/>
          <w:sz w:val="18"/>
          <w:szCs w:val="18"/>
          <w:lang w:val="ro-RO"/>
        </w:rPr>
        <w:t>*** (202</w:t>
      </w:r>
      <w:r w:rsidR="00B850CE">
        <w:rPr>
          <w:rFonts w:asciiTheme="minorHAnsi" w:hAnsiTheme="minorHAnsi" w:cstheme="minorHAnsi"/>
          <w:sz w:val="18"/>
          <w:szCs w:val="18"/>
          <w:lang w:val="ro-RO"/>
        </w:rPr>
        <w:t>5</w:t>
      </w:r>
      <w:r w:rsidRPr="00F927B7">
        <w:rPr>
          <w:rFonts w:asciiTheme="minorHAnsi" w:hAnsiTheme="minorHAnsi" w:cstheme="minorHAnsi"/>
          <w:sz w:val="18"/>
          <w:szCs w:val="18"/>
          <w:lang w:val="ro-RO"/>
        </w:rPr>
        <w:t>) AON 202</w:t>
      </w:r>
      <w:r w:rsidR="00B850CE">
        <w:rPr>
          <w:rFonts w:asciiTheme="minorHAnsi" w:hAnsiTheme="minorHAnsi" w:cstheme="minorHAnsi"/>
          <w:sz w:val="18"/>
          <w:szCs w:val="18"/>
          <w:lang w:val="ro-RO"/>
        </w:rPr>
        <w:t>5</w:t>
      </w:r>
      <w:r w:rsidRPr="00F927B7">
        <w:rPr>
          <w:rFonts w:asciiTheme="minorHAnsi" w:hAnsiTheme="minorHAnsi" w:cstheme="minorHAnsi"/>
          <w:sz w:val="18"/>
          <w:szCs w:val="18"/>
          <w:lang w:val="ro-RO"/>
        </w:rPr>
        <w:t xml:space="preserve"> Global Medical Trend </w:t>
      </w:r>
      <w:proofErr w:type="spellStart"/>
      <w:r w:rsidRPr="00F927B7">
        <w:rPr>
          <w:rFonts w:asciiTheme="minorHAnsi" w:hAnsiTheme="minorHAnsi" w:cstheme="minorHAnsi"/>
          <w:sz w:val="18"/>
          <w:szCs w:val="18"/>
          <w:lang w:val="ro-RO"/>
        </w:rPr>
        <w:t>Rates</w:t>
      </w:r>
      <w:proofErr w:type="spellEnd"/>
      <w:r w:rsidRPr="00F927B7">
        <w:rPr>
          <w:rFonts w:asciiTheme="minorHAnsi" w:hAnsiTheme="minorHAnsi" w:cstheme="minorHAnsi"/>
          <w:sz w:val="18"/>
          <w:szCs w:val="18"/>
          <w:lang w:val="ro-RO"/>
        </w:rPr>
        <w:t xml:space="preserve"> Report</w:t>
      </w:r>
    </w:p>
    <w:p w14:paraId="149547F0" w14:textId="77777777" w:rsidR="006B5128" w:rsidRPr="00F927B7" w:rsidRDefault="006B5128" w:rsidP="0007509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18"/>
          <w:szCs w:val="18"/>
          <w:lang w:val="ro-RO"/>
        </w:rPr>
      </w:pPr>
      <w:r w:rsidRPr="00F927B7">
        <w:rPr>
          <w:rFonts w:asciiTheme="minorHAnsi" w:hAnsiTheme="minorHAnsi" w:cstheme="minorHAnsi"/>
          <w:sz w:val="18"/>
          <w:szCs w:val="18"/>
          <w:lang w:val="ro-RO"/>
        </w:rPr>
        <w:t xml:space="preserve">*** (2024) Top </w:t>
      </w:r>
      <w:proofErr w:type="spellStart"/>
      <w:r w:rsidRPr="00F927B7">
        <w:rPr>
          <w:rFonts w:asciiTheme="minorHAnsi" w:hAnsiTheme="minorHAnsi" w:cstheme="minorHAnsi"/>
          <w:sz w:val="18"/>
          <w:szCs w:val="18"/>
          <w:lang w:val="ro-RO"/>
        </w:rPr>
        <w:t>Employers</w:t>
      </w:r>
      <w:proofErr w:type="spellEnd"/>
      <w:r w:rsidRPr="00F927B7">
        <w:rPr>
          <w:rFonts w:asciiTheme="minorHAnsi" w:hAnsiTheme="minorHAnsi" w:cstheme="minorHAnsi"/>
          <w:sz w:val="18"/>
          <w:szCs w:val="18"/>
          <w:lang w:val="ro-RO"/>
        </w:rPr>
        <w:t xml:space="preserve"> Institute – World of </w:t>
      </w:r>
      <w:proofErr w:type="spellStart"/>
      <w:r w:rsidRPr="00F927B7">
        <w:rPr>
          <w:rFonts w:asciiTheme="minorHAnsi" w:hAnsiTheme="minorHAnsi" w:cstheme="minorHAnsi"/>
          <w:sz w:val="18"/>
          <w:szCs w:val="18"/>
          <w:lang w:val="ro-RO"/>
        </w:rPr>
        <w:t>Work</w:t>
      </w:r>
      <w:proofErr w:type="spellEnd"/>
      <w:r w:rsidRPr="00F927B7">
        <w:rPr>
          <w:rFonts w:asciiTheme="minorHAnsi" w:hAnsiTheme="minorHAnsi" w:cstheme="minorHAnsi"/>
          <w:sz w:val="18"/>
          <w:szCs w:val="18"/>
          <w:lang w:val="ro-RO"/>
        </w:rPr>
        <w:t xml:space="preserve"> </w:t>
      </w:r>
      <w:proofErr w:type="spellStart"/>
      <w:r w:rsidRPr="00F927B7">
        <w:rPr>
          <w:rFonts w:asciiTheme="minorHAnsi" w:hAnsiTheme="minorHAnsi" w:cstheme="minorHAnsi"/>
          <w:sz w:val="18"/>
          <w:szCs w:val="18"/>
          <w:lang w:val="ro-RO"/>
        </w:rPr>
        <w:t>Trends</w:t>
      </w:r>
      <w:proofErr w:type="spellEnd"/>
      <w:r w:rsidRPr="00F927B7">
        <w:rPr>
          <w:rFonts w:asciiTheme="minorHAnsi" w:hAnsiTheme="minorHAnsi" w:cstheme="minorHAnsi"/>
          <w:sz w:val="18"/>
          <w:szCs w:val="18"/>
          <w:lang w:val="ro-RO"/>
        </w:rPr>
        <w:t xml:space="preserve"> 2024</w:t>
      </w:r>
    </w:p>
    <w:p w14:paraId="3DF583C0" w14:textId="77777777" w:rsidR="006B5128" w:rsidRPr="00F927B7" w:rsidRDefault="006B5128" w:rsidP="0007509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18"/>
          <w:szCs w:val="18"/>
          <w:lang w:val="ro-RO"/>
        </w:rPr>
      </w:pPr>
      <w:r w:rsidRPr="00F927B7">
        <w:rPr>
          <w:rFonts w:asciiTheme="minorHAnsi" w:hAnsiTheme="minorHAnsi" w:cstheme="minorHAnsi"/>
          <w:sz w:val="18"/>
          <w:szCs w:val="18"/>
          <w:lang w:val="ro-RO"/>
        </w:rPr>
        <w:t xml:space="preserve">*** (2024) McLean &amp; </w:t>
      </w:r>
      <w:proofErr w:type="spellStart"/>
      <w:r w:rsidRPr="00F927B7">
        <w:rPr>
          <w:rFonts w:asciiTheme="minorHAnsi" w:hAnsiTheme="minorHAnsi" w:cstheme="minorHAnsi"/>
          <w:sz w:val="18"/>
          <w:szCs w:val="18"/>
          <w:lang w:val="ro-RO"/>
        </w:rPr>
        <w:t>Company’s</w:t>
      </w:r>
      <w:proofErr w:type="spellEnd"/>
      <w:r w:rsidRPr="00F927B7">
        <w:rPr>
          <w:rFonts w:asciiTheme="minorHAnsi" w:hAnsiTheme="minorHAnsi" w:cstheme="minorHAnsi"/>
          <w:sz w:val="18"/>
          <w:szCs w:val="18"/>
          <w:lang w:val="ro-RO"/>
        </w:rPr>
        <w:t xml:space="preserve">  - HR </w:t>
      </w:r>
      <w:proofErr w:type="spellStart"/>
      <w:r w:rsidRPr="00F927B7">
        <w:rPr>
          <w:rFonts w:asciiTheme="minorHAnsi" w:hAnsiTheme="minorHAnsi" w:cstheme="minorHAnsi"/>
          <w:sz w:val="18"/>
          <w:szCs w:val="18"/>
          <w:lang w:val="ro-RO"/>
        </w:rPr>
        <w:t>Trends</w:t>
      </w:r>
      <w:proofErr w:type="spellEnd"/>
      <w:r w:rsidRPr="00F927B7">
        <w:rPr>
          <w:rFonts w:asciiTheme="minorHAnsi" w:hAnsiTheme="minorHAnsi" w:cstheme="minorHAnsi"/>
          <w:sz w:val="18"/>
          <w:szCs w:val="18"/>
          <w:lang w:val="ro-RO"/>
        </w:rPr>
        <w:t xml:space="preserve"> </w:t>
      </w:r>
      <w:proofErr w:type="spellStart"/>
      <w:r w:rsidRPr="00F927B7">
        <w:rPr>
          <w:rFonts w:asciiTheme="minorHAnsi" w:hAnsiTheme="minorHAnsi" w:cstheme="minorHAnsi"/>
          <w:sz w:val="18"/>
          <w:szCs w:val="18"/>
          <w:lang w:val="ro-RO"/>
        </w:rPr>
        <w:t>Survey</w:t>
      </w:r>
      <w:proofErr w:type="spellEnd"/>
      <w:r w:rsidRPr="00F927B7">
        <w:rPr>
          <w:rFonts w:asciiTheme="minorHAnsi" w:hAnsiTheme="minorHAnsi" w:cstheme="minorHAnsi"/>
          <w:sz w:val="18"/>
          <w:szCs w:val="18"/>
          <w:lang w:val="ro-RO"/>
        </w:rPr>
        <w:t xml:space="preserve"> 2024</w:t>
      </w:r>
    </w:p>
    <w:p w14:paraId="0ECC341F" w14:textId="77777777" w:rsidR="006B5128" w:rsidRDefault="006B5128" w:rsidP="0007509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  <w:sz w:val="18"/>
          <w:szCs w:val="18"/>
          <w:lang w:val="ro-RO"/>
        </w:rPr>
      </w:pPr>
      <w:r>
        <w:rPr>
          <w:rFonts w:asciiTheme="minorHAnsi" w:hAnsiTheme="minorHAnsi" w:cstheme="minorHAnsi"/>
          <w:sz w:val="18"/>
          <w:szCs w:val="18"/>
          <w:lang w:val="ro-RO"/>
        </w:rPr>
        <w:t xml:space="preserve">*** (2023) </w:t>
      </w:r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 xml:space="preserve">Directive (EU) 2023/970 of </w:t>
      </w:r>
      <w:proofErr w:type="spellStart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>the</w:t>
      </w:r>
      <w:proofErr w:type="spellEnd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 xml:space="preserve"> European </w:t>
      </w:r>
      <w:proofErr w:type="spellStart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>Parliament</w:t>
      </w:r>
      <w:proofErr w:type="spellEnd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 xml:space="preserve"> </w:t>
      </w:r>
      <w:proofErr w:type="spellStart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>and</w:t>
      </w:r>
      <w:proofErr w:type="spellEnd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 xml:space="preserve"> of </w:t>
      </w:r>
      <w:proofErr w:type="spellStart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>the</w:t>
      </w:r>
      <w:proofErr w:type="spellEnd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 xml:space="preserve"> Council of 10 May 2023 </w:t>
      </w:r>
      <w:proofErr w:type="spellStart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>to</w:t>
      </w:r>
      <w:proofErr w:type="spellEnd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 xml:space="preserve"> </w:t>
      </w:r>
      <w:proofErr w:type="spellStart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>strengthen</w:t>
      </w:r>
      <w:proofErr w:type="spellEnd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 xml:space="preserve"> </w:t>
      </w:r>
      <w:proofErr w:type="spellStart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>the</w:t>
      </w:r>
      <w:proofErr w:type="spellEnd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 xml:space="preserve"> </w:t>
      </w:r>
      <w:proofErr w:type="spellStart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>application</w:t>
      </w:r>
      <w:proofErr w:type="spellEnd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 xml:space="preserve"> of </w:t>
      </w:r>
      <w:proofErr w:type="spellStart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>the</w:t>
      </w:r>
      <w:proofErr w:type="spellEnd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 xml:space="preserve"> </w:t>
      </w:r>
      <w:proofErr w:type="spellStart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>principle</w:t>
      </w:r>
      <w:proofErr w:type="spellEnd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 xml:space="preserve"> of </w:t>
      </w:r>
      <w:proofErr w:type="spellStart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>equal</w:t>
      </w:r>
      <w:proofErr w:type="spellEnd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 xml:space="preserve"> </w:t>
      </w:r>
      <w:proofErr w:type="spellStart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>pay</w:t>
      </w:r>
      <w:proofErr w:type="spellEnd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 xml:space="preserve"> for </w:t>
      </w:r>
      <w:proofErr w:type="spellStart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>equal</w:t>
      </w:r>
      <w:proofErr w:type="spellEnd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 xml:space="preserve"> </w:t>
      </w:r>
      <w:proofErr w:type="spellStart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>work</w:t>
      </w:r>
      <w:proofErr w:type="spellEnd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 xml:space="preserve"> or </w:t>
      </w:r>
      <w:proofErr w:type="spellStart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>work</w:t>
      </w:r>
      <w:proofErr w:type="spellEnd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 xml:space="preserve"> of </w:t>
      </w:r>
      <w:proofErr w:type="spellStart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>equal</w:t>
      </w:r>
      <w:proofErr w:type="spellEnd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 xml:space="preserve"> </w:t>
      </w:r>
      <w:proofErr w:type="spellStart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>value</w:t>
      </w:r>
      <w:proofErr w:type="spellEnd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 xml:space="preserve"> </w:t>
      </w:r>
      <w:proofErr w:type="spellStart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>between</w:t>
      </w:r>
      <w:proofErr w:type="spellEnd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 xml:space="preserve"> </w:t>
      </w:r>
      <w:proofErr w:type="spellStart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>men</w:t>
      </w:r>
      <w:proofErr w:type="spellEnd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 xml:space="preserve"> </w:t>
      </w:r>
      <w:proofErr w:type="spellStart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>and</w:t>
      </w:r>
      <w:proofErr w:type="spellEnd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 xml:space="preserve"> </w:t>
      </w:r>
      <w:proofErr w:type="spellStart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>women</w:t>
      </w:r>
      <w:proofErr w:type="spellEnd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 xml:space="preserve"> </w:t>
      </w:r>
      <w:proofErr w:type="spellStart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>through</w:t>
      </w:r>
      <w:proofErr w:type="spellEnd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 xml:space="preserve"> </w:t>
      </w:r>
      <w:proofErr w:type="spellStart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>pay</w:t>
      </w:r>
      <w:proofErr w:type="spellEnd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 xml:space="preserve"> </w:t>
      </w:r>
      <w:proofErr w:type="spellStart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>transparency</w:t>
      </w:r>
      <w:proofErr w:type="spellEnd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 xml:space="preserve"> </w:t>
      </w:r>
      <w:proofErr w:type="spellStart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>and</w:t>
      </w:r>
      <w:proofErr w:type="spellEnd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 xml:space="preserve"> </w:t>
      </w:r>
      <w:proofErr w:type="spellStart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>enforcement</w:t>
      </w:r>
      <w:proofErr w:type="spellEnd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 xml:space="preserve"> </w:t>
      </w:r>
      <w:proofErr w:type="spellStart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>mechanisms</w:t>
      </w:r>
      <w:proofErr w:type="spellEnd"/>
      <w:r w:rsidRPr="00477728">
        <w:rPr>
          <w:rFonts w:asciiTheme="minorHAnsi" w:hAnsiTheme="minorHAnsi" w:cstheme="minorHAnsi"/>
          <w:b/>
          <w:bCs/>
          <w:sz w:val="18"/>
          <w:szCs w:val="18"/>
          <w:lang w:val="ro-RO"/>
        </w:rPr>
        <w:t> </w:t>
      </w:r>
    </w:p>
    <w:p w14:paraId="4AF834CB" w14:textId="77777777" w:rsidR="006B5128" w:rsidRPr="00F927B7" w:rsidRDefault="006B5128" w:rsidP="0007509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Cs/>
          <w:i/>
          <w:sz w:val="18"/>
          <w:szCs w:val="18"/>
          <w:lang w:val="ro-RO"/>
        </w:rPr>
      </w:pPr>
      <w:hyperlink r:id="rId17" w:history="1">
        <w:r w:rsidRPr="00AB67DF">
          <w:rPr>
            <w:rStyle w:val="Hyperlink"/>
            <w:rFonts w:asciiTheme="minorHAnsi" w:hAnsiTheme="minorHAnsi" w:cstheme="minorHAnsi"/>
            <w:bCs/>
            <w:i/>
            <w:sz w:val="18"/>
            <w:szCs w:val="18"/>
            <w:lang w:val="ro-RO"/>
          </w:rPr>
          <w:t>https://eur-lex.europa.eu/eli/dir/2023/970/oj/eng</w:t>
        </w:r>
      </w:hyperlink>
      <w:r>
        <w:rPr>
          <w:rFonts w:asciiTheme="minorHAnsi" w:hAnsiTheme="minorHAnsi" w:cstheme="minorHAnsi"/>
          <w:bCs/>
          <w:i/>
          <w:sz w:val="18"/>
          <w:szCs w:val="18"/>
          <w:lang w:val="ro-RO"/>
        </w:rPr>
        <w:t xml:space="preserve"> </w:t>
      </w:r>
    </w:p>
    <w:p w14:paraId="2F0E3E0B" w14:textId="77777777" w:rsidR="006B5128" w:rsidRPr="00F927B7" w:rsidRDefault="006B5128" w:rsidP="0007509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18"/>
          <w:szCs w:val="18"/>
          <w:lang w:val="ro-RO"/>
        </w:rPr>
      </w:pPr>
    </w:p>
    <w:p w14:paraId="506EEDDB" w14:textId="77777777" w:rsidR="006B5128" w:rsidRPr="00F927B7" w:rsidRDefault="006B5128" w:rsidP="0007509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16"/>
          <w:szCs w:val="16"/>
          <w:lang w:val="ro-RO"/>
        </w:rPr>
      </w:pP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Agovino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T.,(2020) 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What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Will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the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Workplace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Look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Like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in 2025? </w:t>
      </w:r>
      <w:hyperlink r:id="rId18" w:history="1">
        <w:r w:rsidRPr="00F927B7">
          <w:rPr>
            <w:rStyle w:val="Hyperlink"/>
            <w:rFonts w:asciiTheme="minorHAnsi" w:hAnsiTheme="minorHAnsi" w:cstheme="minorHAnsi"/>
            <w:sz w:val="16"/>
            <w:szCs w:val="16"/>
            <w:lang w:val="ro-RO"/>
          </w:rPr>
          <w:t>https://www.shrm.org/hr-today/news/all-things-work/Pages/the-workplace-in-2025.aspx</w:t>
        </w:r>
      </w:hyperlink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</w:p>
    <w:p w14:paraId="4AA7DDCC" w14:textId="77777777" w:rsidR="006B5128" w:rsidRPr="00F927B7" w:rsidRDefault="006B5128" w:rsidP="0007509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16"/>
          <w:szCs w:val="16"/>
          <w:lang w:val="ro-RO"/>
        </w:rPr>
      </w:pPr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Berger, D. (2000), The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Compensation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Handbook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: A State-of-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the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>-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art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Guide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to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Compensation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Strategy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and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Design,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McGraw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>-Hill Professional, (disponibila in varianta electronica)</w:t>
      </w:r>
    </w:p>
    <w:p w14:paraId="24F4C2E3" w14:textId="77777777" w:rsidR="006B5128" w:rsidRPr="00F927B7" w:rsidRDefault="006B5128" w:rsidP="0007509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16"/>
          <w:szCs w:val="16"/>
          <w:lang w:val="ro-RO"/>
        </w:rPr>
      </w:pP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Chichelli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, D. (2004),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Compensating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the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sales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force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,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McGraw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Hill (disponibila in varianta electronica)</w:t>
      </w:r>
    </w:p>
    <w:p w14:paraId="5CE547E5" w14:textId="77777777" w:rsidR="006B5128" w:rsidRPr="00F927B7" w:rsidRDefault="006B5128" w:rsidP="0007509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16"/>
          <w:szCs w:val="16"/>
          <w:lang w:val="ro-RO"/>
        </w:rPr>
      </w:pP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Chingos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, P. (2002),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Paying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 for performance: A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guide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to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compensation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management, John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Wiley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&amp;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Sons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(disponibila in varianta electronica)</w:t>
      </w:r>
    </w:p>
    <w:p w14:paraId="6303F654" w14:textId="77777777" w:rsidR="006B5128" w:rsidRPr="00F927B7" w:rsidRDefault="006B5128" w:rsidP="0007509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16"/>
          <w:szCs w:val="16"/>
          <w:lang w:val="ro-RO"/>
        </w:rPr>
      </w:pP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Haak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, T. (2024),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Recap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of 2024 HR &amp;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people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trend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predictions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report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and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2025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sneak-preview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,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HRTrends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Institute, </w:t>
      </w:r>
      <w:hyperlink r:id="rId19" w:history="1">
        <w:r w:rsidRPr="00F927B7">
          <w:rPr>
            <w:rStyle w:val="Hyperlink"/>
            <w:rFonts w:asciiTheme="minorHAnsi" w:hAnsiTheme="minorHAnsi" w:cstheme="minorHAnsi"/>
            <w:sz w:val="16"/>
            <w:szCs w:val="16"/>
            <w:lang w:val="ro-RO"/>
          </w:rPr>
          <w:t>https://www.hrtrendinstitute.com/blog/2024/11/27/2024-hr-and-people-trend-predictions-report-recap</w:t>
        </w:r>
      </w:hyperlink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</w:p>
    <w:p w14:paraId="2A0DE210" w14:textId="77777777" w:rsidR="006B5128" w:rsidRPr="00F927B7" w:rsidRDefault="006B5128" w:rsidP="0007509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16"/>
          <w:szCs w:val="16"/>
          <w:lang w:val="ro-RO"/>
        </w:rPr>
      </w:pP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Kaur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, J., &amp;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Fink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, A. A. (2017).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Trends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and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practices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in talent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analytics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. Society for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Human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Resource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Management (SHRM)-Society for Industrial-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Organizational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Psychology (SIOP)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Science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of HR White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Paper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Series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>.</w:t>
      </w:r>
    </w:p>
    <w:p w14:paraId="71A648B7" w14:textId="77777777" w:rsidR="006B5128" w:rsidRPr="00F927B7" w:rsidRDefault="006B5128" w:rsidP="0007509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16"/>
          <w:szCs w:val="16"/>
          <w:lang w:val="ro-RO"/>
        </w:rPr>
      </w:pP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Lund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S. ,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Madgavkar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A.,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Manyika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J. ,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and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Smit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S., (2020),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What’s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next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for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remote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work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: An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analysis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of 2,000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tasks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, 800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jobs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,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and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nine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countries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,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McKinsey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Global Institute, </w:t>
      </w:r>
      <w:r w:rsidRPr="00F927B7">
        <w:rPr>
          <w:rFonts w:asciiTheme="minorHAnsi" w:hAnsiTheme="minorHAnsi" w:cstheme="minorHAnsi"/>
          <w:sz w:val="16"/>
          <w:szCs w:val="16"/>
          <w:lang w:val="ro-RO" w:eastAsia="en-GB"/>
        </w:rPr>
        <w:t xml:space="preserve">McKinsey.com </w:t>
      </w:r>
    </w:p>
    <w:p w14:paraId="13408A92" w14:textId="77777777" w:rsidR="006B5128" w:rsidRPr="00F927B7" w:rsidRDefault="006B5128" w:rsidP="0007509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16"/>
          <w:szCs w:val="16"/>
          <w:lang w:val="ro-RO"/>
        </w:rPr>
      </w:pP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Matyunina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J. (2020),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How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Machine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Learning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is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Changing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HR Industry, </w:t>
      </w:r>
      <w:hyperlink r:id="rId20" w:history="1">
        <w:r w:rsidRPr="00F927B7">
          <w:rPr>
            <w:rStyle w:val="Hyperlink"/>
            <w:rFonts w:asciiTheme="minorHAnsi" w:hAnsiTheme="minorHAnsi" w:cstheme="minorHAnsi"/>
            <w:sz w:val="16"/>
            <w:szCs w:val="16"/>
            <w:lang w:val="ro-RO"/>
          </w:rPr>
          <w:t>https://codetiburon.com/machine-learning-changing-hr-industry/</w:t>
        </w:r>
      </w:hyperlink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</w:p>
    <w:p w14:paraId="2E10C0B5" w14:textId="77777777" w:rsidR="006B5128" w:rsidRPr="00F927B7" w:rsidRDefault="006B5128" w:rsidP="0007509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16"/>
          <w:szCs w:val="16"/>
          <w:lang w:val="ro-RO"/>
        </w:rPr>
      </w:pP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Mishra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S.N., Lama D.R., Pal Y., (2016) 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Human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Resource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Predictive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Analytics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(HRPA) for HR Management in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Organizations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>, INTERNATIONAL JOURNAL OF SCIENTIFIC &amp; TECHNOLOGY RESEARCH, VOL 5, ISSUE 5</w:t>
      </w:r>
    </w:p>
    <w:p w14:paraId="53BDA609" w14:textId="77777777" w:rsidR="006B5128" w:rsidRPr="00F927B7" w:rsidRDefault="006B5128" w:rsidP="0007509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16"/>
          <w:szCs w:val="16"/>
          <w:lang w:val="ro-RO"/>
        </w:rPr>
      </w:pP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Smallwood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, N. (2021),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From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Benchmarking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to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Guidance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: A New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Paradigm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for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Setting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Priorities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and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Delivering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Results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>, The RBL Group</w:t>
      </w:r>
    </w:p>
    <w:p w14:paraId="2D978FA5" w14:textId="77777777" w:rsidR="006B5128" w:rsidRPr="00F927B7" w:rsidRDefault="006B5128" w:rsidP="0007509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16"/>
          <w:szCs w:val="16"/>
          <w:lang w:val="ro-RO"/>
        </w:rPr>
      </w:pP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Sneader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K.,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Singhal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S., (2021) The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next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normal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arrives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: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Trends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that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will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define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2021—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and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beyond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,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January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2021, McKinsey.com</w:t>
      </w:r>
    </w:p>
    <w:p w14:paraId="2A6E87C2" w14:textId="77777777" w:rsidR="006B5128" w:rsidRPr="00F927B7" w:rsidRDefault="006B5128" w:rsidP="0007509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16"/>
          <w:szCs w:val="16"/>
          <w:lang w:val="ro-RO"/>
        </w:rPr>
      </w:pPr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Ulrich, D. (2021),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HR’s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Reinvention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: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Moving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from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Benchmarking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and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Best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Practices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to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 xml:space="preserve"> </w:t>
      </w:r>
      <w:proofErr w:type="spellStart"/>
      <w:r w:rsidRPr="00F927B7">
        <w:rPr>
          <w:rFonts w:asciiTheme="minorHAnsi" w:hAnsiTheme="minorHAnsi" w:cstheme="minorHAnsi"/>
          <w:sz w:val="16"/>
          <w:szCs w:val="16"/>
          <w:lang w:val="ro-RO"/>
        </w:rPr>
        <w:t>Guidance</w:t>
      </w:r>
      <w:proofErr w:type="spellEnd"/>
      <w:r w:rsidRPr="00F927B7">
        <w:rPr>
          <w:rFonts w:asciiTheme="minorHAnsi" w:hAnsiTheme="minorHAnsi" w:cstheme="minorHAnsi"/>
          <w:sz w:val="16"/>
          <w:szCs w:val="16"/>
          <w:lang w:val="ro-RO"/>
        </w:rPr>
        <w:t>, The RBL Group</w:t>
      </w:r>
    </w:p>
    <w:p w14:paraId="0D8B332A" w14:textId="77777777" w:rsidR="006B5128" w:rsidRDefault="006B5128" w:rsidP="001D7686">
      <w:pPr>
        <w:pStyle w:val="NoSpacing"/>
        <w:jc w:val="both"/>
        <w:rPr>
          <w:rFonts w:cs="Calibri"/>
          <w:lang w:val="ro-RO"/>
        </w:rPr>
      </w:pPr>
    </w:p>
    <w:p w14:paraId="255A304B" w14:textId="77777777" w:rsidR="006B5128" w:rsidRPr="00AB51F7" w:rsidRDefault="006B5128" w:rsidP="001D7686">
      <w:pPr>
        <w:pStyle w:val="NoSpacing"/>
        <w:jc w:val="both"/>
        <w:rPr>
          <w:rFonts w:cs="Calibri"/>
          <w:lang w:val="ro-RO"/>
        </w:rPr>
      </w:pP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4961"/>
      </w:tblGrid>
      <w:tr w:rsidR="001D7686" w:rsidRPr="00AB51F7" w14:paraId="7C5F1B96" w14:textId="77777777" w:rsidTr="00075093">
        <w:trPr>
          <w:trHeight w:val="907"/>
          <w:tblHeader/>
        </w:trPr>
        <w:tc>
          <w:tcPr>
            <w:tcW w:w="3828" w:type="dxa"/>
          </w:tcPr>
          <w:p w14:paraId="0CA282A9" w14:textId="2C4C45A1" w:rsidR="001D7686" w:rsidRPr="00AB51F7" w:rsidRDefault="001D7686" w:rsidP="001D7686">
            <w:pPr>
              <w:pStyle w:val="NoSpacing"/>
              <w:jc w:val="both"/>
              <w:rPr>
                <w:rFonts w:cs="Calibri"/>
                <w:lang w:val="ro-RO"/>
              </w:rPr>
            </w:pPr>
            <w:r w:rsidRPr="00AB51F7">
              <w:rPr>
                <w:rFonts w:cs="Calibri"/>
              </w:rPr>
              <w:t xml:space="preserve">7.2 Seminar / </w:t>
            </w:r>
            <w:r w:rsidRPr="00AB51F7">
              <w:rPr>
                <w:rFonts w:cs="Calibri"/>
                <w:lang w:val="ro-RO"/>
              </w:rPr>
              <w:t>laborator</w:t>
            </w:r>
          </w:p>
        </w:tc>
        <w:tc>
          <w:tcPr>
            <w:tcW w:w="1417" w:type="dxa"/>
          </w:tcPr>
          <w:p w14:paraId="517B4358" w14:textId="0C9FBF1E" w:rsidR="001D7686" w:rsidRPr="00AB51F7" w:rsidRDefault="001D7686" w:rsidP="001D7686">
            <w:pPr>
              <w:pStyle w:val="NoSpacing"/>
              <w:jc w:val="both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Metode de predare</w:t>
            </w:r>
          </w:p>
        </w:tc>
        <w:tc>
          <w:tcPr>
            <w:tcW w:w="4961" w:type="dxa"/>
          </w:tcPr>
          <w:p w14:paraId="1DE1D96E" w14:textId="14B2FBD2" w:rsidR="001D7686" w:rsidRPr="00AB51F7" w:rsidRDefault="001D7686" w:rsidP="001D7686">
            <w:pPr>
              <w:pStyle w:val="NoSpacing"/>
              <w:jc w:val="both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Observații</w:t>
            </w:r>
          </w:p>
        </w:tc>
      </w:tr>
      <w:tr w:rsidR="001D7686" w:rsidRPr="00AB51F7" w14:paraId="0333DBEA" w14:textId="77777777" w:rsidTr="00075093">
        <w:trPr>
          <w:trHeight w:val="907"/>
        </w:trPr>
        <w:tc>
          <w:tcPr>
            <w:tcW w:w="3828" w:type="dxa"/>
          </w:tcPr>
          <w:p w14:paraId="731CC742" w14:textId="77777777" w:rsidR="001D7686" w:rsidRPr="00F927B7" w:rsidRDefault="001D7686" w:rsidP="001D7686">
            <w:pPr>
              <w:pStyle w:val="NoSpacing"/>
              <w:rPr>
                <w:rFonts w:asciiTheme="minorHAnsi" w:hAnsiTheme="minorHAnsi" w:cstheme="minorHAnsi"/>
                <w:b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b/>
                <w:sz w:val="18"/>
                <w:szCs w:val="18"/>
                <w:lang w:val="ro-RO"/>
              </w:rPr>
              <w:t xml:space="preserve">1. Automatizare 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o-RO"/>
              </w:rPr>
              <w:t>ș</w:t>
            </w:r>
            <w:r w:rsidRPr="00F927B7">
              <w:rPr>
                <w:rFonts w:asciiTheme="minorHAnsi" w:hAnsiTheme="minorHAnsi" w:cstheme="minorHAnsi"/>
                <w:b/>
                <w:sz w:val="18"/>
                <w:szCs w:val="18"/>
                <w:lang w:val="ro-RO"/>
              </w:rPr>
              <w:t xml:space="preserve">i digitalizare 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o-RO"/>
              </w:rPr>
              <w:t>î</w:t>
            </w:r>
            <w:r w:rsidRPr="00F927B7">
              <w:rPr>
                <w:rFonts w:asciiTheme="minorHAnsi" w:hAnsiTheme="minorHAnsi" w:cstheme="minorHAnsi"/>
                <w:b/>
                <w:sz w:val="18"/>
                <w:szCs w:val="18"/>
                <w:lang w:val="ro-RO"/>
              </w:rPr>
              <w:t>n HR</w:t>
            </w:r>
          </w:p>
          <w:p w14:paraId="32153147" w14:textId="77777777" w:rsidR="001D7686" w:rsidRPr="00F927B7" w:rsidRDefault="001D7686" w:rsidP="001D7686">
            <w:pPr>
              <w:pStyle w:val="NoSpacing"/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 xml:space="preserve">1.1. Tehnologii ML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>ș</w:t>
            </w:r>
            <w:r w:rsidRPr="00F927B7"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 xml:space="preserve">i AI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>î</w:t>
            </w:r>
            <w:r w:rsidRPr="00F927B7"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>n HR – exemplificare</w:t>
            </w:r>
          </w:p>
          <w:p w14:paraId="5209F8C0" w14:textId="721045D5" w:rsidR="001D7686" w:rsidRPr="001E3E32" w:rsidRDefault="001D7686" w:rsidP="001D7686">
            <w:pPr>
              <w:pStyle w:val="NoSpacing"/>
              <w:jc w:val="both"/>
              <w:rPr>
                <w:rFonts w:cs="Calibri"/>
                <w:lang w:val="pt-PT"/>
              </w:rPr>
            </w:pPr>
            <w:r w:rsidRPr="00F927B7"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 xml:space="preserve">1.2. Automatizare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>ș</w:t>
            </w:r>
            <w:r w:rsidRPr="00F927B7"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 xml:space="preserve">i digitalizare in HR: Studiu de caz fluctuația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>ș</w:t>
            </w:r>
            <w:r w:rsidRPr="00F927B7"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>i retenția angajaților</w:t>
            </w:r>
          </w:p>
        </w:tc>
        <w:tc>
          <w:tcPr>
            <w:tcW w:w="1417" w:type="dxa"/>
          </w:tcPr>
          <w:p w14:paraId="6398CBD1" w14:textId="755402CC" w:rsidR="001D7686" w:rsidRPr="00AB51F7" w:rsidRDefault="001D7686" w:rsidP="001D7686">
            <w:pPr>
              <w:pStyle w:val="NoSpacing"/>
              <w:jc w:val="both"/>
              <w:rPr>
                <w:rFonts w:cs="Calibri"/>
                <w:lang w:val="ro-RO"/>
              </w:rPr>
            </w:pPr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>conversa</w:t>
            </w:r>
            <w:r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>ț</w:t>
            </w:r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>ie, demonstra</w:t>
            </w:r>
            <w:r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>ț</w:t>
            </w:r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>ie</w:t>
            </w:r>
          </w:p>
        </w:tc>
        <w:tc>
          <w:tcPr>
            <w:tcW w:w="4961" w:type="dxa"/>
          </w:tcPr>
          <w:p w14:paraId="77D00A9B" w14:textId="32FC4738" w:rsidR="001D7686" w:rsidRPr="00AB51F7" w:rsidRDefault="001D7686" w:rsidP="001D7686">
            <w:pPr>
              <w:pStyle w:val="NoSpacing"/>
              <w:jc w:val="both"/>
              <w:rPr>
                <w:rFonts w:cs="Calibri"/>
                <w:lang w:val="ro-RO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Sunt prezentate sintetic instrumente 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ș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i platforme analitice, importan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ț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a datelor, noile tehnologii predictive precum 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ș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i studii de caz care ilustrează folosirea </w:t>
            </w:r>
            <w:proofErr w:type="spellStart"/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machine</w:t>
            </w:r>
            <w:proofErr w:type="spellEnd"/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learning</w:t>
            </w:r>
            <w:proofErr w:type="spellEnd"/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ș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i AI 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î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n HR</w:t>
            </w:r>
          </w:p>
        </w:tc>
      </w:tr>
      <w:tr w:rsidR="001D7686" w:rsidRPr="00AB51F7" w14:paraId="37D1A07B" w14:textId="77777777" w:rsidTr="00075093">
        <w:trPr>
          <w:trHeight w:val="907"/>
        </w:trPr>
        <w:tc>
          <w:tcPr>
            <w:tcW w:w="3828" w:type="dxa"/>
          </w:tcPr>
          <w:p w14:paraId="1344F39B" w14:textId="77777777" w:rsidR="001D7686" w:rsidRPr="00F927B7" w:rsidRDefault="001D7686" w:rsidP="001D7686">
            <w:pPr>
              <w:pStyle w:val="NoSpacing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b/>
                <w:sz w:val="18"/>
                <w:szCs w:val="18"/>
                <w:lang w:val="ro-RO"/>
              </w:rPr>
              <w:t>2. Instrumente analitice in HR</w:t>
            </w:r>
          </w:p>
          <w:p w14:paraId="574246FE" w14:textId="77777777" w:rsidR="001D7686" w:rsidRPr="00F927B7" w:rsidRDefault="001D7686" w:rsidP="001D7686">
            <w:pPr>
              <w:pStyle w:val="NoSpacing"/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>2.1. MS Excel</w:t>
            </w:r>
          </w:p>
          <w:p w14:paraId="24AA5544" w14:textId="77777777" w:rsidR="001D7686" w:rsidRPr="00F927B7" w:rsidRDefault="001D7686" w:rsidP="001D7686">
            <w:pPr>
              <w:pStyle w:val="NoSpacing"/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 xml:space="preserve">2.2. Microsoft </w:t>
            </w:r>
            <w:proofErr w:type="spellStart"/>
            <w:r w:rsidRPr="00F927B7"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>PowerBI</w:t>
            </w:r>
            <w:proofErr w:type="spellEnd"/>
          </w:p>
          <w:p w14:paraId="580F12DA" w14:textId="3595E71F" w:rsidR="001D7686" w:rsidRPr="00AB51F7" w:rsidRDefault="001D7686" w:rsidP="001D7686">
            <w:pPr>
              <w:pStyle w:val="NoSpacing"/>
              <w:jc w:val="both"/>
              <w:rPr>
                <w:rFonts w:cs="Calibri"/>
              </w:rPr>
            </w:pPr>
            <w:r w:rsidRPr="00F927B7"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 xml:space="preserve">2.3. </w:t>
            </w:r>
            <w:proofErr w:type="spellStart"/>
            <w:r w:rsidRPr="00F927B7"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>Tableau</w:t>
            </w:r>
            <w:proofErr w:type="spellEnd"/>
          </w:p>
        </w:tc>
        <w:tc>
          <w:tcPr>
            <w:tcW w:w="1417" w:type="dxa"/>
          </w:tcPr>
          <w:p w14:paraId="55531C5F" w14:textId="52D06CCC" w:rsidR="001D7686" w:rsidRPr="00AB51F7" w:rsidRDefault="001D7686" w:rsidP="001D7686">
            <w:pPr>
              <w:pStyle w:val="NoSpacing"/>
              <w:jc w:val="both"/>
              <w:rPr>
                <w:rFonts w:cs="Calibri"/>
                <w:lang w:val="ro-RO"/>
              </w:rPr>
            </w:pPr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>conversa</w:t>
            </w:r>
            <w:r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>ț</w:t>
            </w:r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>ie, demonstra</w:t>
            </w:r>
            <w:r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>ț</w:t>
            </w:r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>ie</w:t>
            </w:r>
          </w:p>
        </w:tc>
        <w:tc>
          <w:tcPr>
            <w:tcW w:w="4961" w:type="dxa"/>
          </w:tcPr>
          <w:p w14:paraId="20EAB477" w14:textId="77777777" w:rsidR="001D7686" w:rsidRPr="00F927B7" w:rsidRDefault="001D7686" w:rsidP="001D7686">
            <w:pPr>
              <w:pStyle w:val="NoSpacing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Exercițiu: pregătirea datelor 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ș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i instrumente analitice folosind aplicația MS Excel</w:t>
            </w:r>
          </w:p>
          <w:p w14:paraId="6719F15A" w14:textId="77777777" w:rsidR="001D7686" w:rsidRPr="00F927B7" w:rsidRDefault="001D7686" w:rsidP="001D7686">
            <w:pPr>
              <w:pStyle w:val="NoSpacing"/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Ilustrarea unei soluții analitice prin MS </w:t>
            </w:r>
            <w:proofErr w:type="spellStart"/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PowerBI</w:t>
            </w:r>
            <w:proofErr w:type="spellEnd"/>
          </w:p>
          <w:p w14:paraId="707446EB" w14:textId="694CE568" w:rsidR="001D7686" w:rsidRPr="00AB51F7" w:rsidRDefault="001D7686" w:rsidP="001D7686">
            <w:pPr>
              <w:pStyle w:val="NoSpacing"/>
              <w:jc w:val="both"/>
              <w:rPr>
                <w:rFonts w:cs="Calibri"/>
                <w:lang w:val="ro-RO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Ilustrarea unei soluții analitice folosind aplicația </w:t>
            </w:r>
            <w:proofErr w:type="spellStart"/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Tableau</w:t>
            </w:r>
            <w:proofErr w:type="spellEnd"/>
          </w:p>
        </w:tc>
      </w:tr>
      <w:tr w:rsidR="001D7686" w:rsidRPr="00AB51F7" w14:paraId="76D827B8" w14:textId="77777777" w:rsidTr="00075093">
        <w:trPr>
          <w:trHeight w:val="907"/>
        </w:trPr>
        <w:tc>
          <w:tcPr>
            <w:tcW w:w="3828" w:type="dxa"/>
          </w:tcPr>
          <w:p w14:paraId="52C09F5E" w14:textId="78D41197" w:rsidR="001D7686" w:rsidRPr="00F927B7" w:rsidRDefault="00477728" w:rsidP="001D7686">
            <w:pPr>
              <w:pStyle w:val="NoSpacing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ro-RO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ro-RO"/>
              </w:rPr>
              <w:t>3</w:t>
            </w:r>
            <w:r w:rsidR="001D7686" w:rsidRPr="00F927B7">
              <w:rPr>
                <w:rFonts w:asciiTheme="minorHAnsi" w:hAnsiTheme="minorHAnsi" w:cstheme="minorHAnsi"/>
                <w:b/>
                <w:sz w:val="18"/>
                <w:szCs w:val="18"/>
                <w:lang w:val="ro-RO"/>
              </w:rPr>
              <w:t>. Calcul salarial</w:t>
            </w:r>
          </w:p>
          <w:p w14:paraId="42AEBE60" w14:textId="5D655919" w:rsidR="001D7686" w:rsidRPr="00F927B7" w:rsidRDefault="00477728" w:rsidP="001D7686">
            <w:pPr>
              <w:pStyle w:val="NoSpacing"/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>3</w:t>
            </w:r>
            <w:r w:rsidR="001D7686" w:rsidRPr="00F927B7"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>.1.Exemplificare calcul salarial</w:t>
            </w:r>
          </w:p>
          <w:p w14:paraId="06FEF812" w14:textId="749C4D94" w:rsidR="001D7686" w:rsidRPr="00AB51F7" w:rsidRDefault="00477728" w:rsidP="001D7686">
            <w:pPr>
              <w:pStyle w:val="NoSpacing"/>
              <w:jc w:val="both"/>
              <w:rPr>
                <w:rFonts w:cs="Calibri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>3</w:t>
            </w:r>
            <w:r w:rsidR="001D7686" w:rsidRPr="00F927B7"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>.2. Schimbări in calcul salarial in 202</w:t>
            </w:r>
            <w:r w:rsidR="001D7686"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>5</w:t>
            </w:r>
          </w:p>
        </w:tc>
        <w:tc>
          <w:tcPr>
            <w:tcW w:w="1417" w:type="dxa"/>
          </w:tcPr>
          <w:p w14:paraId="7E7F74B8" w14:textId="20B5BDE7" w:rsidR="001D7686" w:rsidRPr="00AB51F7" w:rsidRDefault="001D7686" w:rsidP="001D7686">
            <w:pPr>
              <w:pStyle w:val="NoSpacing"/>
              <w:jc w:val="both"/>
              <w:rPr>
                <w:rFonts w:cs="Calibri"/>
                <w:lang w:val="ro-RO"/>
              </w:rPr>
            </w:pPr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>conversa</w:t>
            </w:r>
            <w:r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>ț</w:t>
            </w:r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>ie, demonstra</w:t>
            </w:r>
            <w:r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>ț</w:t>
            </w:r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>ie</w:t>
            </w:r>
          </w:p>
        </w:tc>
        <w:tc>
          <w:tcPr>
            <w:tcW w:w="4961" w:type="dxa"/>
          </w:tcPr>
          <w:p w14:paraId="7743015C" w14:textId="77777777" w:rsidR="001D7686" w:rsidRPr="00F927B7" w:rsidRDefault="001D7686" w:rsidP="001D7686">
            <w:pPr>
              <w:pStyle w:val="NoSpacing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Exercițiu: </w:t>
            </w:r>
          </w:p>
          <w:p w14:paraId="60981A56" w14:textId="77777777" w:rsidR="001D7686" w:rsidRPr="00F927B7" w:rsidRDefault="001D7686" w:rsidP="001D7686">
            <w:pPr>
              <w:pStyle w:val="NoSpacing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calcul salarial in contextul schimbării salariilor</w:t>
            </w:r>
          </w:p>
          <w:p w14:paraId="7AADC128" w14:textId="46372F15" w:rsidR="001D7686" w:rsidRPr="00AB51F7" w:rsidRDefault="001D7686" w:rsidP="001D7686">
            <w:pPr>
              <w:pStyle w:val="NoSpacing"/>
              <w:jc w:val="both"/>
              <w:rPr>
                <w:rFonts w:cs="Calibri"/>
                <w:lang w:val="ro-RO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calcul salarial in contextul schimbărilor fiscale </w:t>
            </w:r>
          </w:p>
        </w:tc>
      </w:tr>
      <w:tr w:rsidR="001D7686" w:rsidRPr="00AB51F7" w14:paraId="1C4457B9" w14:textId="77777777" w:rsidTr="00075093">
        <w:trPr>
          <w:trHeight w:val="907"/>
        </w:trPr>
        <w:tc>
          <w:tcPr>
            <w:tcW w:w="3828" w:type="dxa"/>
          </w:tcPr>
          <w:p w14:paraId="4E160A4D" w14:textId="121CB92D" w:rsidR="001D7686" w:rsidRPr="00F927B7" w:rsidRDefault="00477728" w:rsidP="001D7686">
            <w:pPr>
              <w:pStyle w:val="NoSpacing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ro-RO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ro-RO"/>
              </w:rPr>
              <w:t>4</w:t>
            </w:r>
            <w:r w:rsidR="001D7686" w:rsidRPr="00F927B7">
              <w:rPr>
                <w:rFonts w:asciiTheme="minorHAnsi" w:hAnsiTheme="minorHAnsi" w:cstheme="minorHAnsi"/>
                <w:b/>
                <w:sz w:val="18"/>
                <w:szCs w:val="18"/>
                <w:lang w:val="ro-RO"/>
              </w:rPr>
              <w:t>. Instrumente analitice in activitatea de recompensare</w:t>
            </w:r>
          </w:p>
          <w:p w14:paraId="3E96055D" w14:textId="4AF07E1F" w:rsidR="001D7686" w:rsidRPr="00F927B7" w:rsidRDefault="00477728" w:rsidP="001D7686">
            <w:pPr>
              <w:pStyle w:val="NoSpacing"/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>4</w:t>
            </w:r>
            <w:r w:rsidR="001D7686" w:rsidRPr="00F927B7"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 xml:space="preserve">.1. Exemple de soluții software pentru managementul programelor de </w:t>
            </w:r>
            <w:r w:rsidR="001D7686" w:rsidRPr="006D45EB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  <w:lang w:val="ro-RO"/>
              </w:rPr>
              <w:t xml:space="preserve">total </w:t>
            </w:r>
            <w:proofErr w:type="spellStart"/>
            <w:r w:rsidR="001D7686" w:rsidRPr="006D45EB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  <w:lang w:val="ro-RO"/>
              </w:rPr>
              <w:t>compensation</w:t>
            </w:r>
            <w:proofErr w:type="spellEnd"/>
            <w:r w:rsidR="001D7686" w:rsidRPr="00F927B7"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 xml:space="preserve"> </w:t>
            </w:r>
          </w:p>
          <w:p w14:paraId="093F9FCC" w14:textId="4D3EBE53" w:rsidR="001D7686" w:rsidRPr="001E3E32" w:rsidRDefault="001D7686" w:rsidP="001D7686">
            <w:pPr>
              <w:pStyle w:val="NoSpacing"/>
              <w:jc w:val="both"/>
              <w:rPr>
                <w:rFonts w:cs="Calibri"/>
                <w:lang w:val="pt-PT"/>
              </w:rPr>
            </w:pPr>
            <w:r w:rsidRPr="00F927B7"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>4.</w:t>
            </w:r>
            <w:r w:rsidR="00477728"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>2</w:t>
            </w:r>
            <w:r w:rsidRPr="00F927B7"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 xml:space="preserve"> Managementul proceselor de creșteri salariale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>î</w:t>
            </w:r>
            <w:r w:rsidRPr="00F927B7"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 xml:space="preserve">n </w:t>
            </w:r>
            <w:proofErr w:type="spellStart"/>
            <w:r w:rsidRPr="006D45EB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  <w:lang w:val="ro-RO"/>
              </w:rPr>
              <w:t>Workday</w:t>
            </w:r>
            <w:proofErr w:type="spellEnd"/>
          </w:p>
        </w:tc>
        <w:tc>
          <w:tcPr>
            <w:tcW w:w="1417" w:type="dxa"/>
          </w:tcPr>
          <w:p w14:paraId="68E219AB" w14:textId="0F60B14D" w:rsidR="001D7686" w:rsidRPr="00AB51F7" w:rsidRDefault="001D7686" w:rsidP="001D7686">
            <w:pPr>
              <w:pStyle w:val="NoSpacing"/>
              <w:jc w:val="both"/>
              <w:rPr>
                <w:rFonts w:cs="Calibri"/>
                <w:lang w:val="ro-RO"/>
              </w:rPr>
            </w:pPr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>conversa</w:t>
            </w:r>
            <w:r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>ț</w:t>
            </w:r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>ie, demonstra</w:t>
            </w:r>
            <w:r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>ț</w:t>
            </w:r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>ie</w:t>
            </w:r>
          </w:p>
        </w:tc>
        <w:tc>
          <w:tcPr>
            <w:tcW w:w="4961" w:type="dxa"/>
          </w:tcPr>
          <w:p w14:paraId="0B7E8522" w14:textId="77777777" w:rsidR="001D7686" w:rsidRPr="00F927B7" w:rsidRDefault="001D7686" w:rsidP="001D7686">
            <w:pPr>
              <w:pStyle w:val="NoSpacing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Exemplificare: Soluții soft pentru administrarea programelor de compensare</w:t>
            </w:r>
          </w:p>
          <w:p w14:paraId="713FB83B" w14:textId="77777777" w:rsidR="00477728" w:rsidRPr="001E3E32" w:rsidRDefault="00477728" w:rsidP="001D7686">
            <w:pPr>
              <w:pStyle w:val="NoSpacing"/>
              <w:rPr>
                <w:lang w:val="pt-PT"/>
              </w:rPr>
            </w:pPr>
          </w:p>
          <w:p w14:paraId="026E8974" w14:textId="7B18609F" w:rsidR="001D7686" w:rsidRPr="00F927B7" w:rsidRDefault="001D7686" w:rsidP="001D7686">
            <w:pPr>
              <w:pStyle w:val="NoSpacing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hyperlink r:id="rId21" w:history="1">
              <w:r w:rsidRPr="00F927B7">
                <w:rPr>
                  <w:rStyle w:val="Hyperlink"/>
                  <w:rFonts w:asciiTheme="minorHAnsi" w:hAnsiTheme="minorHAnsi" w:cstheme="minorHAnsi"/>
                  <w:sz w:val="18"/>
                  <w:szCs w:val="18"/>
                  <w:lang w:val="ro-RO"/>
                </w:rPr>
                <w:t>https://www.workday.com/content/dam/web/uk/documents/datasheets/datasheet-compensation-uk.pdf</w:t>
              </w:r>
            </w:hyperlink>
          </w:p>
          <w:p w14:paraId="6EACC8A6" w14:textId="77777777" w:rsidR="001D7686" w:rsidRPr="001E3E32" w:rsidRDefault="001D7686" w:rsidP="001D7686">
            <w:pPr>
              <w:pStyle w:val="NoSpacing"/>
              <w:jc w:val="both"/>
              <w:rPr>
                <w:lang w:val="pt-PT"/>
              </w:rPr>
            </w:pPr>
          </w:p>
          <w:p w14:paraId="44FF96AE" w14:textId="77777777" w:rsidR="00477728" w:rsidRPr="00AB51F7" w:rsidRDefault="00477728" w:rsidP="001D7686">
            <w:pPr>
              <w:pStyle w:val="NoSpacing"/>
              <w:jc w:val="both"/>
              <w:rPr>
                <w:rFonts w:cs="Calibri"/>
                <w:lang w:val="ro-RO"/>
              </w:rPr>
            </w:pPr>
          </w:p>
        </w:tc>
      </w:tr>
      <w:tr w:rsidR="00477728" w:rsidRPr="00AB51F7" w14:paraId="5F5E6D7C" w14:textId="77777777" w:rsidTr="00075093">
        <w:trPr>
          <w:trHeight w:val="907"/>
        </w:trPr>
        <w:tc>
          <w:tcPr>
            <w:tcW w:w="3828" w:type="dxa"/>
          </w:tcPr>
          <w:p w14:paraId="5F2D0B68" w14:textId="5E1B8253" w:rsidR="00477728" w:rsidRDefault="00477728" w:rsidP="00477728">
            <w:pPr>
              <w:pStyle w:val="NoSpacing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ro-RO"/>
              </w:rPr>
            </w:pPr>
            <w:r w:rsidRPr="00477728">
              <w:rPr>
                <w:rFonts w:asciiTheme="minorHAnsi" w:hAnsiTheme="minorHAnsi" w:cstheme="minorHAnsi"/>
                <w:b/>
                <w:sz w:val="18"/>
                <w:szCs w:val="18"/>
                <w:lang w:val="ro-RO"/>
              </w:rPr>
              <w:lastRenderedPageBreak/>
              <w:t>5.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18"/>
                <w:szCs w:val="18"/>
                <w:lang w:val="ro-RO"/>
              </w:rPr>
              <w:t>Pay</w:t>
            </w:r>
            <w:proofErr w:type="spellEnd"/>
            <w:r>
              <w:rPr>
                <w:rFonts w:asciiTheme="minorHAnsi" w:hAnsiTheme="minorHAnsi" w:cstheme="minorHAnsi"/>
                <w:b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18"/>
                <w:szCs w:val="18"/>
                <w:lang w:val="ro-RO"/>
              </w:rPr>
              <w:t>transparency</w:t>
            </w:r>
            <w:proofErr w:type="spellEnd"/>
            <w:r>
              <w:rPr>
                <w:rFonts w:asciiTheme="minorHAnsi" w:hAnsiTheme="minorHAnsi" w:cstheme="minorHAnsi"/>
                <w:b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18"/>
                <w:szCs w:val="18"/>
                <w:lang w:val="ro-RO"/>
              </w:rPr>
              <w:t>and</w:t>
            </w:r>
            <w:proofErr w:type="spellEnd"/>
            <w:r>
              <w:rPr>
                <w:rFonts w:asciiTheme="minorHAnsi" w:hAnsiTheme="minorHAnsi" w:cstheme="minorHAnsi"/>
                <w:b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18"/>
                <w:szCs w:val="18"/>
                <w:lang w:val="ro-RO"/>
              </w:rPr>
              <w:t>equity</w:t>
            </w:r>
            <w:proofErr w:type="spellEnd"/>
          </w:p>
          <w:p w14:paraId="46237067" w14:textId="77777777" w:rsidR="00477728" w:rsidRPr="00477728" w:rsidRDefault="00477728" w:rsidP="00477728">
            <w:pPr>
              <w:pStyle w:val="NoSpacing"/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</w:pPr>
            <w:r w:rsidRPr="00477728"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 xml:space="preserve">5.1. Audit pentru identificarea </w:t>
            </w:r>
            <w:proofErr w:type="spellStart"/>
            <w:r w:rsidRPr="00477728"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>pay</w:t>
            </w:r>
            <w:proofErr w:type="spellEnd"/>
            <w:r w:rsidRPr="00477728"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477728"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>gap</w:t>
            </w:r>
            <w:proofErr w:type="spellEnd"/>
          </w:p>
          <w:p w14:paraId="207C53ED" w14:textId="6A6994BA" w:rsidR="00477728" w:rsidRPr="00477728" w:rsidRDefault="00477728" w:rsidP="00477728">
            <w:pPr>
              <w:pStyle w:val="NoSpacing"/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</w:pPr>
            <w:r w:rsidRPr="00477728"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 xml:space="preserve">5.2.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 xml:space="preserve">Registre si rapoarte </w:t>
            </w:r>
            <w:proofErr w:type="spellStart"/>
            <w:r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>pay</w:t>
            </w:r>
            <w:proofErr w:type="spellEnd"/>
            <w:r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>gap</w:t>
            </w:r>
            <w:proofErr w:type="spellEnd"/>
          </w:p>
          <w:p w14:paraId="007A4DDD" w14:textId="77777777" w:rsidR="00477728" w:rsidRDefault="00477728" w:rsidP="00477728">
            <w:pPr>
              <w:pStyle w:val="NoSpacing"/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</w:pPr>
            <w:r w:rsidRPr="00477728"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>5.3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 xml:space="preserve">. Explicarea </w:t>
            </w:r>
            <w:proofErr w:type="spellStart"/>
            <w:r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>pay</w:t>
            </w:r>
            <w:proofErr w:type="spellEnd"/>
            <w:r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>gap</w:t>
            </w:r>
            <w:proofErr w:type="spellEnd"/>
          </w:p>
          <w:p w14:paraId="1B669F32" w14:textId="25E4344C" w:rsidR="00477728" w:rsidRPr="00477728" w:rsidRDefault="00477728" w:rsidP="00477728">
            <w:pPr>
              <w:pStyle w:val="NoSpacing"/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</w:pPr>
            <w:r w:rsidRPr="00477728">
              <w:rPr>
                <w:rFonts w:asciiTheme="minorHAnsi" w:hAnsiTheme="minorHAnsi" w:cstheme="minorHAnsi"/>
                <w:bCs/>
                <w:sz w:val="18"/>
                <w:szCs w:val="18"/>
                <w:lang w:val="ro-RO"/>
              </w:rPr>
              <w:t xml:space="preserve">5.4. </w:t>
            </w:r>
          </w:p>
        </w:tc>
        <w:tc>
          <w:tcPr>
            <w:tcW w:w="1417" w:type="dxa"/>
          </w:tcPr>
          <w:p w14:paraId="4AF5F77D" w14:textId="10CD7E7F" w:rsidR="00477728" w:rsidRPr="00F927B7" w:rsidRDefault="00477728" w:rsidP="001D7686">
            <w:pPr>
              <w:pStyle w:val="NoSpacing"/>
              <w:jc w:val="both"/>
              <w:rPr>
                <w:rFonts w:asciiTheme="minorHAnsi" w:hAnsiTheme="minorHAnsi" w:cstheme="minorHAnsi"/>
                <w:sz w:val="16"/>
                <w:szCs w:val="16"/>
                <w:lang w:val="ro-RO"/>
              </w:rPr>
            </w:pPr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>conversa</w:t>
            </w:r>
            <w:r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>ț</w:t>
            </w:r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>ie, demonstra</w:t>
            </w:r>
            <w:r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>ț</w:t>
            </w:r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>ie</w:t>
            </w:r>
          </w:p>
        </w:tc>
        <w:tc>
          <w:tcPr>
            <w:tcW w:w="4961" w:type="dxa"/>
          </w:tcPr>
          <w:p w14:paraId="2EC97C64" w14:textId="0882BFDC" w:rsidR="00477728" w:rsidRDefault="00477728" w:rsidP="00477728">
            <w:pPr>
              <w:pStyle w:val="NoSpacing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Exemplificare: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utilizand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 un set de date se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ilustreaza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pay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gap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 brut si elementele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esentiale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 pentru realizarea unui audit pentru identificarea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pay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gap</w:t>
            </w:r>
            <w:proofErr w:type="spellEnd"/>
          </w:p>
          <w:p w14:paraId="77FF9963" w14:textId="77777777" w:rsidR="00477728" w:rsidRDefault="00477728" w:rsidP="00477728">
            <w:pPr>
              <w:pStyle w:val="NoSpacing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</w:p>
          <w:p w14:paraId="29A93629" w14:textId="15725700" w:rsidR="00477728" w:rsidRPr="00F927B7" w:rsidRDefault="00477728" w:rsidP="00477728">
            <w:pPr>
              <w:pStyle w:val="NoSpacing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Se discuta alternative de remediere a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pay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gap</w:t>
            </w:r>
            <w:proofErr w:type="spellEnd"/>
          </w:p>
          <w:p w14:paraId="59244456" w14:textId="77777777" w:rsidR="00477728" w:rsidRPr="00F927B7" w:rsidRDefault="00477728" w:rsidP="001D7686">
            <w:pPr>
              <w:pStyle w:val="NoSpacing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</w:p>
        </w:tc>
      </w:tr>
      <w:tr w:rsidR="001D7686" w:rsidRPr="00AB51F7" w14:paraId="62211C23" w14:textId="77777777" w:rsidTr="00075093">
        <w:trPr>
          <w:trHeight w:val="907"/>
        </w:trPr>
        <w:tc>
          <w:tcPr>
            <w:tcW w:w="3828" w:type="dxa"/>
          </w:tcPr>
          <w:p w14:paraId="27FC071E" w14:textId="77777777" w:rsidR="001D7686" w:rsidRPr="00F927B7" w:rsidRDefault="001D7686" w:rsidP="001D7686">
            <w:pPr>
              <w:pStyle w:val="NoSpacing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b/>
                <w:sz w:val="18"/>
                <w:szCs w:val="18"/>
                <w:lang w:val="ro-RO"/>
              </w:rPr>
              <w:t xml:space="preserve">6. </w:t>
            </w:r>
            <w:r w:rsidRPr="00F927B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o-RO"/>
              </w:rPr>
              <w:t>Studii salariale</w:t>
            </w:r>
          </w:p>
          <w:p w14:paraId="0AA9C984" w14:textId="77777777" w:rsidR="001D7686" w:rsidRPr="00F927B7" w:rsidRDefault="001D7686" w:rsidP="001D7686">
            <w:pPr>
              <w:pStyle w:val="NoSpacing"/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6.1. metodologii alternative: MERCER, AON </w:t>
            </w:r>
            <w:proofErr w:type="spellStart"/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Radford</w:t>
            </w:r>
            <w:proofErr w:type="spellEnd"/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, </w:t>
            </w:r>
            <w:proofErr w:type="spellStart"/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WillisTowerWatson</w:t>
            </w:r>
            <w:proofErr w:type="spellEnd"/>
          </w:p>
          <w:p w14:paraId="2EA48899" w14:textId="77777777" w:rsidR="001D7686" w:rsidRPr="00F927B7" w:rsidRDefault="001D7686" w:rsidP="001D7686">
            <w:pPr>
              <w:pStyle w:val="NoSpacing"/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6.2. Utilizarea studiilor salariale: dezvoltarea grilelor salariale</w:t>
            </w:r>
          </w:p>
          <w:p w14:paraId="6EF59FC7" w14:textId="79191F88" w:rsidR="001D7686" w:rsidRPr="001E3E32" w:rsidRDefault="001D7686" w:rsidP="001D7686">
            <w:pPr>
              <w:pStyle w:val="NoSpacing"/>
              <w:jc w:val="both"/>
              <w:rPr>
                <w:rFonts w:cs="Calibri"/>
                <w:lang w:val="pt-PT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6.3. Tendințe de pia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ță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: estimarea creșterilor de salarii folosind instrumente analitice</w:t>
            </w:r>
          </w:p>
        </w:tc>
        <w:tc>
          <w:tcPr>
            <w:tcW w:w="1417" w:type="dxa"/>
          </w:tcPr>
          <w:p w14:paraId="5FFF8802" w14:textId="53DBAF53" w:rsidR="001D7686" w:rsidRPr="00AB51F7" w:rsidRDefault="001D7686" w:rsidP="001D7686">
            <w:pPr>
              <w:pStyle w:val="NoSpacing"/>
              <w:jc w:val="both"/>
              <w:rPr>
                <w:rFonts w:cs="Calibri"/>
                <w:lang w:val="ro-RO"/>
              </w:rPr>
            </w:pPr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>conversa</w:t>
            </w:r>
            <w:r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>ț</w:t>
            </w:r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>ie, demonstra</w:t>
            </w:r>
            <w:r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>ț</w:t>
            </w:r>
            <w:r w:rsidRPr="00F927B7">
              <w:rPr>
                <w:rFonts w:asciiTheme="minorHAnsi" w:hAnsiTheme="minorHAnsi" w:cstheme="minorHAnsi"/>
                <w:sz w:val="16"/>
                <w:szCs w:val="16"/>
                <w:lang w:val="ro-RO"/>
              </w:rPr>
              <w:t>ie</w:t>
            </w:r>
          </w:p>
        </w:tc>
        <w:tc>
          <w:tcPr>
            <w:tcW w:w="4961" w:type="dxa"/>
          </w:tcPr>
          <w:p w14:paraId="2DE1D400" w14:textId="77777777" w:rsidR="001D7686" w:rsidRPr="00F927B7" w:rsidRDefault="001D7686" w:rsidP="001D7686">
            <w:pPr>
              <w:pStyle w:val="NoSpacing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Exemplificare: procesarea datelor unui </w:t>
            </w:r>
            <w:proofErr w:type="spellStart"/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salary</w:t>
            </w:r>
            <w:proofErr w:type="spellEnd"/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survey</w:t>
            </w:r>
            <w:proofErr w:type="spellEnd"/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ș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i generarea unor grile salariale</w:t>
            </w:r>
          </w:p>
          <w:p w14:paraId="69119229" w14:textId="4B8EDD77" w:rsidR="001D7686" w:rsidRPr="00AB51F7" w:rsidRDefault="001D7686" w:rsidP="001D7686">
            <w:pPr>
              <w:pStyle w:val="NoSpacing"/>
              <w:jc w:val="both"/>
              <w:rPr>
                <w:rFonts w:cs="Calibri"/>
                <w:lang w:val="ro-RO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Exercițiu: procesarea datelor provenite din market </w:t>
            </w:r>
            <w:proofErr w:type="spellStart"/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evolution</w:t>
            </w:r>
            <w:proofErr w:type="spellEnd"/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survey</w:t>
            </w:r>
            <w:proofErr w:type="spellEnd"/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ș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i estimarea unui buget de creșteri salariale</w:t>
            </w:r>
          </w:p>
        </w:tc>
      </w:tr>
      <w:tr w:rsidR="00075093" w:rsidRPr="00AB51F7" w14:paraId="7E5A62B2" w14:textId="77777777" w:rsidTr="00075093">
        <w:trPr>
          <w:trHeight w:val="907"/>
        </w:trPr>
        <w:tc>
          <w:tcPr>
            <w:tcW w:w="3828" w:type="dxa"/>
          </w:tcPr>
          <w:p w14:paraId="19F8AD9F" w14:textId="77777777" w:rsidR="00075093" w:rsidRPr="00AB51F7" w:rsidRDefault="00075093" w:rsidP="00075093">
            <w:pPr>
              <w:pStyle w:val="NoSpacing"/>
              <w:jc w:val="both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Bibliografie:</w:t>
            </w:r>
          </w:p>
          <w:p w14:paraId="2DF7A087" w14:textId="7429682D" w:rsidR="00075093" w:rsidRPr="00F927B7" w:rsidRDefault="00075093" w:rsidP="00075093">
            <w:pPr>
              <w:pStyle w:val="NoSpacing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lang w:val="ro-RO"/>
              </w:rPr>
              <w:t>se consulta bibliografia menționată la curs</w:t>
            </w:r>
          </w:p>
        </w:tc>
        <w:tc>
          <w:tcPr>
            <w:tcW w:w="1417" w:type="dxa"/>
          </w:tcPr>
          <w:p w14:paraId="0FD62092" w14:textId="77777777" w:rsidR="00075093" w:rsidRPr="00F927B7" w:rsidRDefault="00075093" w:rsidP="001D7686">
            <w:pPr>
              <w:pStyle w:val="NoSpacing"/>
              <w:jc w:val="both"/>
              <w:rPr>
                <w:rFonts w:asciiTheme="minorHAnsi" w:hAnsiTheme="minorHAnsi" w:cstheme="minorHAnsi"/>
                <w:sz w:val="16"/>
                <w:szCs w:val="16"/>
                <w:lang w:val="ro-RO"/>
              </w:rPr>
            </w:pPr>
          </w:p>
        </w:tc>
        <w:tc>
          <w:tcPr>
            <w:tcW w:w="4961" w:type="dxa"/>
          </w:tcPr>
          <w:p w14:paraId="24AC3AD9" w14:textId="77777777" w:rsidR="00075093" w:rsidRPr="00F927B7" w:rsidRDefault="00075093" w:rsidP="001D7686">
            <w:pPr>
              <w:pStyle w:val="NoSpacing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</w:p>
        </w:tc>
      </w:tr>
    </w:tbl>
    <w:p w14:paraId="072152BC" w14:textId="77777777" w:rsidR="00802D13" w:rsidRPr="00AB51F7" w:rsidRDefault="00802D13" w:rsidP="00802D13">
      <w:pPr>
        <w:pStyle w:val="ListParagraph"/>
        <w:spacing w:line="276" w:lineRule="auto"/>
        <w:ind w:left="714"/>
        <w:jc w:val="both"/>
        <w:rPr>
          <w:rFonts w:ascii="Calibri" w:hAnsi="Calibri" w:cs="Calibri"/>
          <w:b/>
          <w:sz w:val="20"/>
          <w:szCs w:val="20"/>
        </w:rPr>
      </w:pPr>
    </w:p>
    <w:p w14:paraId="5DCD796C" w14:textId="7EF138EA" w:rsidR="00E0255D" w:rsidRPr="00AB51F7" w:rsidRDefault="00E0255D" w:rsidP="00752E1C">
      <w:pPr>
        <w:pStyle w:val="ListParagraph"/>
        <w:numPr>
          <w:ilvl w:val="0"/>
          <w:numId w:val="26"/>
        </w:numPr>
        <w:spacing w:line="276" w:lineRule="auto"/>
        <w:ind w:left="714" w:hanging="357"/>
        <w:jc w:val="both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Coroborarea con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>inuturilor disciplinei cu a</w:t>
      </w:r>
      <w:r w:rsidR="00C4385C" w:rsidRPr="00AB51F7">
        <w:rPr>
          <w:rFonts w:ascii="Calibri" w:hAnsi="Calibri" w:cs="Calibri"/>
          <w:b/>
        </w:rPr>
        <w:t>ș</w:t>
      </w:r>
      <w:r w:rsidRPr="00AB51F7">
        <w:rPr>
          <w:rFonts w:ascii="Calibri" w:hAnsi="Calibri" w:cs="Calibri"/>
          <w:b/>
        </w:rPr>
        <w:t>teptările reprezentan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>ilor comunită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>ii epistemice, asocia</w:t>
      </w:r>
      <w:r w:rsidR="00C4385C" w:rsidRPr="00AB51F7">
        <w:rPr>
          <w:rFonts w:ascii="Calibri" w:hAnsi="Calibri" w:cs="Calibri"/>
          <w:b/>
        </w:rPr>
        <w:t>ț</w:t>
      </w:r>
      <w:r w:rsidRPr="00AB51F7">
        <w:rPr>
          <w:rFonts w:ascii="Calibri" w:hAnsi="Calibri" w:cs="Calibri"/>
          <w:b/>
        </w:rPr>
        <w:t xml:space="preserve">iilor profesionale </w:t>
      </w:r>
      <w:r w:rsidR="00C4385C" w:rsidRPr="00AB51F7">
        <w:rPr>
          <w:rFonts w:ascii="Calibri" w:hAnsi="Calibri" w:cs="Calibri"/>
          <w:b/>
        </w:rPr>
        <w:t>ș</w:t>
      </w:r>
      <w:r w:rsidRPr="00AB51F7">
        <w:rPr>
          <w:rFonts w:ascii="Calibri" w:hAnsi="Calibri" w:cs="Calibri"/>
          <w:b/>
        </w:rPr>
        <w:t>i angajatori reprezentativi din domeniul aferent programului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E0255D" w:rsidRPr="00AB51F7" w14:paraId="616C5A3F" w14:textId="77777777" w:rsidTr="00E0255D">
        <w:tc>
          <w:tcPr>
            <w:tcW w:w="9389" w:type="dxa"/>
          </w:tcPr>
          <w:p w14:paraId="32150500" w14:textId="77777777" w:rsidR="00EF0BCB" w:rsidRPr="00F927B7" w:rsidRDefault="00EF0BCB" w:rsidP="00EF0BCB">
            <w:pPr>
              <w:pStyle w:val="NoSpacing"/>
              <w:jc w:val="both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Disciplina este concepută astfel încât să răspundă cerințelor minime de exercitare a profesiei de specialist resurse umane. </w:t>
            </w:r>
          </w:p>
          <w:p w14:paraId="573D3022" w14:textId="6B6DAA76" w:rsidR="00E0255D" w:rsidRPr="00AB51F7" w:rsidRDefault="00EF0BCB" w:rsidP="00EF0BCB">
            <w:pPr>
              <w:pStyle w:val="NoSpacing"/>
              <w:rPr>
                <w:rFonts w:cs="Calibri"/>
                <w:lang w:val="ro-RO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De asemenea, alegerea temelor cu con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ț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inut aplicativ s-a realizat în urma consultării pie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ț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 xml:space="preserve">ei serviciilor de studii se salarizare </w:t>
            </w:r>
            <w:r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ș</w:t>
            </w:r>
            <w:r w:rsidRPr="00F927B7">
              <w:rPr>
                <w:rFonts w:asciiTheme="minorHAnsi" w:hAnsiTheme="minorHAnsi" w:cstheme="minorHAnsi"/>
                <w:sz w:val="18"/>
                <w:szCs w:val="18"/>
                <w:lang w:val="ro-RO"/>
              </w:rPr>
              <w:t>i practici de HR.</w:t>
            </w:r>
          </w:p>
        </w:tc>
      </w:tr>
    </w:tbl>
    <w:p w14:paraId="6C85CEF1" w14:textId="77777777" w:rsidR="00802D13" w:rsidRPr="00AB51F7" w:rsidRDefault="00802D13" w:rsidP="00802D13">
      <w:pPr>
        <w:pStyle w:val="ListParagraph"/>
        <w:spacing w:line="276" w:lineRule="auto"/>
        <w:ind w:left="714"/>
        <w:rPr>
          <w:rFonts w:ascii="Calibri" w:hAnsi="Calibri" w:cs="Calibri"/>
          <w:b/>
          <w:sz w:val="20"/>
          <w:szCs w:val="20"/>
        </w:rPr>
      </w:pPr>
    </w:p>
    <w:p w14:paraId="4ABEEB83" w14:textId="1E2377B8" w:rsidR="00EA206E" w:rsidRPr="00AB51F7" w:rsidRDefault="00EA206E" w:rsidP="00AA12EE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  <w:bCs/>
        </w:rPr>
      </w:pPr>
      <w:r w:rsidRPr="00AB51F7">
        <w:rPr>
          <w:rFonts w:ascii="Calibri" w:hAnsi="Calibri" w:cs="Calibri"/>
          <w:b/>
          <w:bCs/>
          <w:color w:val="111111"/>
        </w:rPr>
        <w:t>Utilizarea instrumentelor bazate pe inteligența artificială generativă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EA206E" w:rsidRPr="00AB51F7" w14:paraId="6DBE5B7C" w14:textId="77777777" w:rsidTr="00AA12EE">
        <w:trPr>
          <w:trHeight w:val="558"/>
        </w:trPr>
        <w:tc>
          <w:tcPr>
            <w:tcW w:w="9389" w:type="dxa"/>
          </w:tcPr>
          <w:p w14:paraId="21BB9D8E" w14:textId="6B2FF352" w:rsidR="00A30C71" w:rsidRPr="00AB51F7" w:rsidRDefault="00032DAB" w:rsidP="00AA12EE">
            <w:pPr>
              <w:pStyle w:val="NoSpacing"/>
              <w:spacing w:line="276" w:lineRule="auto"/>
              <w:jc w:val="both"/>
              <w:rPr>
                <w:rFonts w:cs="Calibri"/>
                <w:lang w:val="ro-RO"/>
              </w:rPr>
            </w:pPr>
            <w:r w:rsidRPr="00AB51F7">
              <w:rPr>
                <w:rFonts w:cs="Calibri"/>
                <w:b/>
                <w:bCs/>
                <w:lang w:val="ro-RO"/>
              </w:rPr>
              <w:t xml:space="preserve">Pentru realizarea sarcinilor definite la secțiunea </w:t>
            </w:r>
            <w:r w:rsidR="00A30C71" w:rsidRPr="00AB51F7">
              <w:rPr>
                <w:rFonts w:cs="Calibri"/>
                <w:b/>
                <w:bCs/>
                <w:lang w:val="ro-RO"/>
              </w:rPr>
              <w:t>de evaluare</w:t>
            </w:r>
            <w:r w:rsidRPr="00AB51F7">
              <w:rPr>
                <w:rFonts w:cs="Calibri"/>
                <w:lang w:val="ro-RO"/>
              </w:rPr>
              <w:t xml:space="preserve"> </w:t>
            </w:r>
            <w:r w:rsidRPr="00AB51F7">
              <w:rPr>
                <w:rFonts w:cs="Calibri"/>
                <w:b/>
                <w:bCs/>
                <w:lang w:val="ro-RO"/>
              </w:rPr>
              <w:t xml:space="preserve">este permisă utilizarea </w:t>
            </w:r>
            <w:proofErr w:type="spellStart"/>
            <w:r w:rsidR="00A30C71" w:rsidRPr="00AB51F7">
              <w:rPr>
                <w:rFonts w:cs="Calibri"/>
                <w:b/>
                <w:bCs/>
                <w:lang w:val="ro-RO"/>
              </w:rPr>
              <w:t>I</w:t>
            </w:r>
            <w:r w:rsidR="004923C5" w:rsidRPr="00AB51F7">
              <w:rPr>
                <w:rFonts w:cs="Calibri"/>
                <w:b/>
                <w:bCs/>
                <w:lang w:val="ro-RO"/>
              </w:rPr>
              <w:t>I</w:t>
            </w:r>
            <w:r w:rsidR="00A30C71" w:rsidRPr="00AB51F7">
              <w:rPr>
                <w:rFonts w:cs="Calibri"/>
                <w:b/>
                <w:bCs/>
                <w:lang w:val="ro-RO"/>
              </w:rPr>
              <w:t>Agen</w:t>
            </w:r>
            <w:proofErr w:type="spellEnd"/>
            <w:r w:rsidRPr="00AB51F7">
              <w:rPr>
                <w:rFonts w:cs="Calibri"/>
                <w:b/>
                <w:bCs/>
                <w:lang w:val="ro-RO"/>
              </w:rPr>
              <w:t xml:space="preserve"> pentru</w:t>
            </w:r>
            <w:r w:rsidRPr="00AB51F7">
              <w:rPr>
                <w:rFonts w:cs="Calibri"/>
                <w:lang w:val="ro-RO"/>
              </w:rPr>
              <w:t xml:space="preserve"> </w:t>
            </w:r>
            <w:proofErr w:type="spellStart"/>
            <w:r w:rsidR="00F743A6" w:rsidRPr="00F743A6">
              <w:rPr>
                <w:rFonts w:cs="Calibri"/>
                <w:lang w:val="ro-RO"/>
              </w:rPr>
              <w:t>pentru</w:t>
            </w:r>
            <w:proofErr w:type="spellEnd"/>
            <w:r w:rsidR="00F743A6" w:rsidRPr="00F743A6">
              <w:rPr>
                <w:rFonts w:cs="Calibri"/>
                <w:lang w:val="ro-RO"/>
              </w:rPr>
              <w:t xml:space="preserve"> clarificarea cerințelor</w:t>
            </w:r>
            <w:r w:rsidR="00F743A6">
              <w:rPr>
                <w:rFonts w:cs="Calibri"/>
                <w:lang w:val="ro-RO"/>
              </w:rPr>
              <w:t xml:space="preserve">, </w:t>
            </w:r>
            <w:proofErr w:type="spellStart"/>
            <w:r w:rsidR="00F743A6">
              <w:rPr>
                <w:rFonts w:cs="Calibri"/>
                <w:lang w:val="ro-RO"/>
              </w:rPr>
              <w:t>obtinerea</w:t>
            </w:r>
            <w:proofErr w:type="spellEnd"/>
            <w:r w:rsidR="00F743A6">
              <w:rPr>
                <w:rFonts w:cs="Calibri"/>
                <w:lang w:val="ro-RO"/>
              </w:rPr>
              <w:t xml:space="preserve"> datelor,</w:t>
            </w:r>
            <w:r w:rsidR="00F743A6" w:rsidRPr="00F743A6">
              <w:rPr>
                <w:rFonts w:cs="Calibri"/>
                <w:lang w:val="ro-RO"/>
              </w:rPr>
              <w:t xml:space="preserve"> organizarea ideilor sau verificări minore de claritate, dar nu este permisă generarea textelor, formularea argumentelor, parafrazarea automată sau înlocuirea gândirii proprii. </w:t>
            </w:r>
          </w:p>
          <w:p w14:paraId="7EF286F6" w14:textId="1DEAF183" w:rsidR="00032DAB" w:rsidRPr="00AB51F7" w:rsidRDefault="00032DAB" w:rsidP="00AA12EE">
            <w:pPr>
              <w:pStyle w:val="NoSpacing"/>
              <w:spacing w:line="276" w:lineRule="auto"/>
              <w:jc w:val="both"/>
              <w:rPr>
                <w:rFonts w:cs="Calibri"/>
                <w:i/>
                <w:iCs/>
                <w:lang w:val="ro-RO"/>
              </w:rPr>
            </w:pPr>
            <w:r w:rsidRPr="00AB51F7">
              <w:rPr>
                <w:rFonts w:cs="Calibri"/>
                <w:i/>
                <w:iCs/>
                <w:lang w:val="ro-RO"/>
              </w:rPr>
              <w:t xml:space="preserve">Exemplele cele mai cunoscute de instrumente </w:t>
            </w:r>
            <w:proofErr w:type="spellStart"/>
            <w:r w:rsidR="00680316" w:rsidRPr="00AB51F7">
              <w:rPr>
                <w:rFonts w:cs="Calibri"/>
                <w:i/>
                <w:iCs/>
                <w:lang w:val="ro-RO"/>
              </w:rPr>
              <w:t>IAgen</w:t>
            </w:r>
            <w:proofErr w:type="spellEnd"/>
            <w:r w:rsidRPr="00AB51F7">
              <w:rPr>
                <w:rFonts w:cs="Calibri"/>
                <w:i/>
                <w:iCs/>
                <w:lang w:val="ro-RO"/>
              </w:rPr>
              <w:t xml:space="preserve"> includ, dar nu se rezumă la: </w:t>
            </w:r>
            <w:proofErr w:type="spellStart"/>
            <w:r w:rsidRPr="00AB51F7">
              <w:rPr>
                <w:rFonts w:cs="Calibri"/>
                <w:i/>
                <w:iCs/>
                <w:lang w:val="ro-RO"/>
              </w:rPr>
              <w:t>ChatGPT</w:t>
            </w:r>
            <w:proofErr w:type="spellEnd"/>
            <w:r w:rsidRPr="00AB51F7">
              <w:rPr>
                <w:rFonts w:cs="Calibri"/>
                <w:i/>
                <w:iCs/>
                <w:lang w:val="ro-RO"/>
              </w:rPr>
              <w:t xml:space="preserve">, Google </w:t>
            </w:r>
            <w:proofErr w:type="spellStart"/>
            <w:r w:rsidRPr="00AB51F7">
              <w:rPr>
                <w:rFonts w:cs="Calibri"/>
                <w:i/>
                <w:iCs/>
                <w:lang w:val="ro-RO"/>
              </w:rPr>
              <w:t>Gemini</w:t>
            </w:r>
            <w:proofErr w:type="spellEnd"/>
            <w:r w:rsidRPr="00AB51F7">
              <w:rPr>
                <w:rFonts w:cs="Calibri"/>
                <w:i/>
                <w:iCs/>
                <w:lang w:val="ro-RO"/>
              </w:rPr>
              <w:t>, Copilot</w:t>
            </w:r>
            <w:r w:rsidR="00F743A6">
              <w:rPr>
                <w:rFonts w:cs="Calibri"/>
                <w:i/>
                <w:iCs/>
                <w:lang w:val="ro-RO"/>
              </w:rPr>
              <w:t xml:space="preserve">, Claude, </w:t>
            </w:r>
            <w:proofErr w:type="spellStart"/>
            <w:r w:rsidR="00F743A6">
              <w:rPr>
                <w:rFonts w:cs="Calibri"/>
                <w:i/>
                <w:iCs/>
                <w:lang w:val="ro-RO"/>
              </w:rPr>
              <w:t>JennyAI</w:t>
            </w:r>
            <w:proofErr w:type="spellEnd"/>
            <w:r w:rsidR="00F743A6">
              <w:rPr>
                <w:rFonts w:cs="Calibri"/>
                <w:i/>
                <w:iCs/>
                <w:lang w:val="ro-RO"/>
              </w:rPr>
              <w:t>, etc</w:t>
            </w:r>
            <w:r w:rsidRPr="00AB51F7">
              <w:rPr>
                <w:rFonts w:cs="Calibri"/>
                <w:i/>
                <w:iCs/>
                <w:lang w:val="ro-RO"/>
              </w:rPr>
              <w:t xml:space="preserve"> pentru text sau </w:t>
            </w:r>
            <w:proofErr w:type="spellStart"/>
            <w:r w:rsidRPr="00AB51F7">
              <w:rPr>
                <w:rFonts w:cs="Calibri"/>
                <w:i/>
                <w:iCs/>
                <w:lang w:val="ro-RO"/>
              </w:rPr>
              <w:t>MidJourney</w:t>
            </w:r>
            <w:proofErr w:type="spellEnd"/>
            <w:r w:rsidR="00F743A6">
              <w:rPr>
                <w:rFonts w:cs="Calibri"/>
                <w:i/>
                <w:iCs/>
                <w:lang w:val="ro-RO"/>
              </w:rPr>
              <w:t xml:space="preserve">, </w:t>
            </w:r>
            <w:proofErr w:type="spellStart"/>
            <w:r w:rsidR="00F743A6">
              <w:rPr>
                <w:rFonts w:cs="Calibri"/>
                <w:i/>
                <w:iCs/>
                <w:lang w:val="ro-RO"/>
              </w:rPr>
              <w:t>Nanobanana</w:t>
            </w:r>
            <w:proofErr w:type="spellEnd"/>
            <w:r w:rsidRPr="00AB51F7">
              <w:rPr>
                <w:rFonts w:cs="Calibri"/>
                <w:i/>
                <w:iCs/>
                <w:lang w:val="ro-RO"/>
              </w:rPr>
              <w:t xml:space="preserve"> pentru imagini.</w:t>
            </w:r>
          </w:p>
          <w:p w14:paraId="663DD918" w14:textId="0B93D8DC" w:rsidR="00EA206E" w:rsidRPr="00AB51F7" w:rsidRDefault="00A30C71" w:rsidP="00AA12EE">
            <w:pPr>
              <w:pStyle w:val="NoSpacing"/>
              <w:spacing w:line="276" w:lineRule="auto"/>
              <w:jc w:val="both"/>
              <w:rPr>
                <w:rFonts w:cs="Calibri"/>
                <w:lang w:val="ro-RO"/>
              </w:rPr>
            </w:pPr>
            <w:r w:rsidRPr="00AB51F7">
              <w:rPr>
                <w:rFonts w:cs="Calibri"/>
                <w:i/>
                <w:iCs/>
                <w:lang w:val="ro-RO"/>
              </w:rPr>
              <w:t xml:space="preserve">Fiecare student va preciza, într-o declarație redactată distinct pentru fiecare sarcină de lucru, conform modelului din anexa 3 a </w:t>
            </w:r>
            <w:hyperlink r:id="rId22" w:history="1">
              <w:r w:rsidRPr="00AB51F7">
                <w:rPr>
                  <w:rStyle w:val="Hyperlink"/>
                  <w:rFonts w:cs="Calibri"/>
                  <w:i/>
                  <w:iCs/>
                  <w:lang w:val="ro-RO"/>
                </w:rPr>
                <w:t>Regulamentului privind utilizarea inteligenței artificiale generative în procesul educațional la UVT</w:t>
              </w:r>
            </w:hyperlink>
            <w:r w:rsidRPr="00AB51F7">
              <w:rPr>
                <w:rFonts w:cs="Calibri"/>
                <w:i/>
                <w:iCs/>
                <w:lang w:val="ro-RO"/>
              </w:rPr>
              <w:t>, instrumentul pe care l-a utilizat, modul în care a fost utilizat și partea din sarcină în care acesta a fost utilizat.</w:t>
            </w:r>
            <w:r w:rsidR="003F6BE0" w:rsidRPr="00AB51F7">
              <w:rPr>
                <w:rFonts w:cs="Calibri"/>
                <w:i/>
                <w:iCs/>
                <w:lang w:val="ro-RO"/>
              </w:rPr>
              <w:t xml:space="preserve"> </w:t>
            </w:r>
            <w:r w:rsidR="003F6BE0" w:rsidRPr="00AB51F7">
              <w:rPr>
                <w:rFonts w:cs="Calibri"/>
                <w:i/>
                <w:iCs/>
                <w:highlight w:val="yellow"/>
                <w:lang w:val="ro-RO"/>
              </w:rPr>
              <w:t>Declarația va fi menționată de student la începutul sarcinii de lucru elaborate.</w:t>
            </w:r>
          </w:p>
        </w:tc>
      </w:tr>
    </w:tbl>
    <w:p w14:paraId="17FE0F59" w14:textId="39183A14" w:rsidR="00075093" w:rsidRDefault="00075093" w:rsidP="00802D13">
      <w:pPr>
        <w:pStyle w:val="ListParagraph"/>
        <w:spacing w:line="276" w:lineRule="auto"/>
        <w:ind w:left="714"/>
        <w:rPr>
          <w:rFonts w:ascii="Calibri" w:hAnsi="Calibri" w:cs="Calibri"/>
          <w:b/>
          <w:sz w:val="20"/>
          <w:szCs w:val="20"/>
        </w:rPr>
      </w:pPr>
    </w:p>
    <w:p w14:paraId="7178F179" w14:textId="77777777" w:rsidR="00075093" w:rsidRDefault="00075093">
      <w:pPr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br w:type="page"/>
      </w:r>
    </w:p>
    <w:p w14:paraId="155D587C" w14:textId="77777777" w:rsidR="00EA206E" w:rsidRPr="00AB51F7" w:rsidRDefault="00EA206E" w:rsidP="00802D13">
      <w:pPr>
        <w:pStyle w:val="ListParagraph"/>
        <w:spacing w:line="276" w:lineRule="auto"/>
        <w:ind w:left="714"/>
        <w:rPr>
          <w:rFonts w:ascii="Calibri" w:hAnsi="Calibri" w:cs="Calibri"/>
          <w:b/>
          <w:sz w:val="20"/>
          <w:szCs w:val="20"/>
        </w:rPr>
      </w:pPr>
    </w:p>
    <w:p w14:paraId="14CF112F" w14:textId="1464A431" w:rsidR="00E0255D" w:rsidRPr="00AB51F7" w:rsidRDefault="00E0255D" w:rsidP="00752E1C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="Calibri" w:hAnsi="Calibri" w:cs="Calibri"/>
          <w:b/>
        </w:rPr>
      </w:pPr>
      <w:r w:rsidRPr="00AB51F7">
        <w:rPr>
          <w:rFonts w:ascii="Calibri" w:hAnsi="Calibri" w:cs="Calibri"/>
          <w:b/>
        </w:rPr>
        <w:t>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80"/>
        <w:gridCol w:w="1912"/>
        <w:gridCol w:w="3191"/>
        <w:gridCol w:w="1695"/>
      </w:tblGrid>
      <w:tr w:rsidR="00E0255D" w:rsidRPr="00AB51F7" w14:paraId="580DDEA8" w14:textId="77777777" w:rsidTr="00802D13">
        <w:tc>
          <w:tcPr>
            <w:tcW w:w="2581" w:type="dxa"/>
          </w:tcPr>
          <w:p w14:paraId="66D2F9EF" w14:textId="77777777" w:rsidR="00E0255D" w:rsidRPr="00AB51F7" w:rsidRDefault="00E0255D" w:rsidP="00752E1C">
            <w:pPr>
              <w:pStyle w:val="NoSpacing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Tip activitate</w:t>
            </w:r>
          </w:p>
        </w:tc>
        <w:tc>
          <w:tcPr>
            <w:tcW w:w="1912" w:type="dxa"/>
          </w:tcPr>
          <w:p w14:paraId="46CB3910" w14:textId="7BF91BB6" w:rsidR="00E0255D" w:rsidRPr="00AB51F7" w:rsidRDefault="008D1323" w:rsidP="00752E1C">
            <w:pPr>
              <w:pStyle w:val="NoSpacing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10</w:t>
            </w:r>
            <w:r w:rsidR="00E0255D" w:rsidRPr="00AB51F7">
              <w:rPr>
                <w:rFonts w:cs="Calibri"/>
                <w:lang w:val="ro-RO"/>
              </w:rPr>
              <w:t>.1 Criterii de evaluare</w:t>
            </w:r>
          </w:p>
        </w:tc>
        <w:tc>
          <w:tcPr>
            <w:tcW w:w="3191" w:type="dxa"/>
          </w:tcPr>
          <w:p w14:paraId="7D590296" w14:textId="2484040B" w:rsidR="00E0255D" w:rsidRPr="00AB51F7" w:rsidRDefault="008D1323" w:rsidP="00752E1C">
            <w:pPr>
              <w:pStyle w:val="NoSpacing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10</w:t>
            </w:r>
            <w:r w:rsidR="00E0255D" w:rsidRPr="00AB51F7">
              <w:rPr>
                <w:rFonts w:cs="Calibri"/>
                <w:lang w:val="ro-RO"/>
              </w:rPr>
              <w:t>.2 Metode de evaluare</w:t>
            </w:r>
          </w:p>
        </w:tc>
        <w:tc>
          <w:tcPr>
            <w:tcW w:w="1695" w:type="dxa"/>
          </w:tcPr>
          <w:p w14:paraId="5AC52449" w14:textId="57DA27D4" w:rsidR="00E0255D" w:rsidRPr="00AB51F7" w:rsidRDefault="008D1323" w:rsidP="00752E1C">
            <w:pPr>
              <w:pStyle w:val="NoSpacing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10</w:t>
            </w:r>
            <w:r w:rsidR="00E0255D" w:rsidRPr="00AB51F7">
              <w:rPr>
                <w:rFonts w:cs="Calibri"/>
                <w:lang w:val="ro-RO"/>
              </w:rPr>
              <w:t>.3 Pondere din nota finală</w:t>
            </w:r>
          </w:p>
        </w:tc>
      </w:tr>
      <w:tr w:rsidR="00E0255D" w:rsidRPr="00AB51F7" w14:paraId="70F082A4" w14:textId="77777777" w:rsidTr="00802D13">
        <w:trPr>
          <w:trHeight w:val="363"/>
        </w:trPr>
        <w:tc>
          <w:tcPr>
            <w:tcW w:w="2581" w:type="dxa"/>
          </w:tcPr>
          <w:p w14:paraId="2723C094" w14:textId="4FBEFD77" w:rsidR="00E0255D" w:rsidRPr="00AB51F7" w:rsidRDefault="008D1323" w:rsidP="00752E1C">
            <w:pPr>
              <w:pStyle w:val="NoSpacing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10</w:t>
            </w:r>
            <w:r w:rsidR="00E0255D" w:rsidRPr="00AB51F7">
              <w:rPr>
                <w:rFonts w:cs="Calibri"/>
                <w:lang w:val="ro-RO"/>
              </w:rPr>
              <w:t>.4 Curs</w:t>
            </w:r>
          </w:p>
        </w:tc>
        <w:tc>
          <w:tcPr>
            <w:tcW w:w="1912" w:type="dxa"/>
          </w:tcPr>
          <w:p w14:paraId="17605E5A" w14:textId="77777777" w:rsidR="00EF0BCB" w:rsidRPr="00F927B7" w:rsidRDefault="00EF0BCB" w:rsidP="00EF0BCB">
            <w:pPr>
              <w:rPr>
                <w:rFonts w:asciiTheme="minorHAnsi" w:hAnsiTheme="minorHAnsi" w:cstheme="minorHAnsi"/>
              </w:rPr>
            </w:pPr>
            <w:r w:rsidRPr="00F927B7">
              <w:rPr>
                <w:rFonts w:asciiTheme="minorHAnsi" w:hAnsiTheme="minorHAnsi" w:cstheme="minorHAnsi"/>
                <w:sz w:val="18"/>
                <w:szCs w:val="18"/>
              </w:rPr>
              <w:t>Lucrare individuală</w:t>
            </w:r>
          </w:p>
          <w:p w14:paraId="6710727E" w14:textId="77777777" w:rsidR="00EF0BCB" w:rsidRDefault="00EF0BCB" w:rsidP="00EF0BCB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  <w:p w14:paraId="7D0536C5" w14:textId="77777777" w:rsidR="00EF0BCB" w:rsidRDefault="00EF0BCB" w:rsidP="00EF0BCB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Structura</w:t>
            </w:r>
          </w:p>
          <w:p w14:paraId="4C130C17" w14:textId="77777777" w:rsidR="00EF0BCB" w:rsidRPr="006D45EB" w:rsidRDefault="00EF0BCB" w:rsidP="00EF0BC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D45EB">
              <w:rPr>
                <w:rFonts w:asciiTheme="minorHAnsi" w:hAnsiTheme="minorHAnsi" w:cstheme="minorHAnsi"/>
                <w:sz w:val="16"/>
                <w:szCs w:val="16"/>
              </w:rPr>
              <w:t>1. Introducere si context</w:t>
            </w:r>
          </w:p>
          <w:p w14:paraId="11C3B72F" w14:textId="77777777" w:rsidR="00EF0BCB" w:rsidRPr="006D45EB" w:rsidRDefault="00EF0BCB" w:rsidP="00EF0BC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D45EB">
              <w:rPr>
                <w:rFonts w:asciiTheme="minorHAnsi" w:hAnsiTheme="minorHAnsi" w:cstheme="minorHAnsi"/>
                <w:sz w:val="16"/>
                <w:szCs w:val="16"/>
              </w:rPr>
              <w:t xml:space="preserve">2. Provocări si oportunități </w:t>
            </w:r>
          </w:p>
          <w:p w14:paraId="40CC1822" w14:textId="77777777" w:rsidR="00EF0BCB" w:rsidRDefault="00EF0BCB" w:rsidP="00EF0BC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3</w:t>
            </w:r>
            <w:r w:rsidRPr="006D45EB">
              <w:rPr>
                <w:rFonts w:asciiTheme="minorHAnsi" w:hAnsiTheme="minorHAnsi" w:cstheme="minorHAnsi"/>
                <w:sz w:val="16"/>
                <w:szCs w:val="16"/>
              </w:rPr>
              <w:t xml:space="preserve">. Situația actuala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referitoare la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pay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transparency</w:t>
            </w:r>
            <w:proofErr w:type="spellEnd"/>
          </w:p>
          <w:p w14:paraId="59F14043" w14:textId="61D72C4D" w:rsidR="00EF0BCB" w:rsidRPr="006D45EB" w:rsidRDefault="00EF0BCB" w:rsidP="00EF0BC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4.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Situatia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actuala in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privinta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pay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equity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gender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pay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gap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>)</w:t>
            </w:r>
          </w:p>
          <w:p w14:paraId="173B3D22" w14:textId="71A9A191" w:rsidR="00EF0BCB" w:rsidRPr="006D45EB" w:rsidRDefault="00EF0BCB" w:rsidP="00EF0BC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4</w:t>
            </w:r>
            <w:r w:rsidRPr="006D45EB">
              <w:rPr>
                <w:rFonts w:asciiTheme="minorHAnsi" w:hAnsiTheme="minorHAnsi" w:cstheme="minorHAnsi"/>
                <w:sz w:val="16"/>
                <w:szCs w:val="16"/>
              </w:rPr>
              <w:t>. Plan de acțiune</w:t>
            </w:r>
            <w:r w:rsidRPr="006D45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si remediere</w:t>
            </w:r>
          </w:p>
          <w:p w14:paraId="4C213948" w14:textId="7E396215" w:rsidR="00E0255D" w:rsidRPr="00AB51F7" w:rsidRDefault="00E0255D" w:rsidP="00752E1C">
            <w:pPr>
              <w:pStyle w:val="NoSpacing"/>
              <w:rPr>
                <w:rFonts w:cs="Calibri"/>
                <w:lang w:val="ro-RO"/>
              </w:rPr>
            </w:pPr>
          </w:p>
        </w:tc>
        <w:tc>
          <w:tcPr>
            <w:tcW w:w="3191" w:type="dxa"/>
          </w:tcPr>
          <w:p w14:paraId="319F6BCE" w14:textId="1E025587" w:rsidR="00E0255D" w:rsidRPr="00AB51F7" w:rsidRDefault="00EF0BCB" w:rsidP="00EF0BCB">
            <w:pPr>
              <w:pStyle w:val="NoSpacing"/>
              <w:rPr>
                <w:rFonts w:cs="Calibri"/>
                <w:lang w:val="ro-RO"/>
              </w:rPr>
            </w:pPr>
            <w:r w:rsidRPr="00EF0BCB">
              <w:rPr>
                <w:rFonts w:cs="Calibri"/>
                <w:lang w:val="ro-RO"/>
              </w:rPr>
              <w:t xml:space="preserve">Realizarea unui proiect  Studiu de caz individual care evidențiază folosirea unor soluții de HR </w:t>
            </w:r>
            <w:proofErr w:type="spellStart"/>
            <w:r w:rsidRPr="00EF0BCB">
              <w:rPr>
                <w:rFonts w:cs="Calibri"/>
                <w:lang w:val="ro-RO"/>
              </w:rPr>
              <w:t>analytics</w:t>
            </w:r>
            <w:proofErr w:type="spellEnd"/>
            <w:r w:rsidRPr="00EF0BCB">
              <w:rPr>
                <w:rFonts w:cs="Calibri"/>
                <w:lang w:val="ro-RO"/>
              </w:rPr>
              <w:t xml:space="preserve"> în</w:t>
            </w:r>
            <w:r>
              <w:rPr>
                <w:rFonts w:cs="Calibri"/>
                <w:lang w:val="ro-RO"/>
              </w:rPr>
              <w:t xml:space="preserve"> auditul </w:t>
            </w:r>
            <w:proofErr w:type="spellStart"/>
            <w:r w:rsidRPr="00EF0BCB">
              <w:rPr>
                <w:rFonts w:cs="Calibri"/>
                <w:lang w:val="ro-RO"/>
              </w:rPr>
              <w:t>pay</w:t>
            </w:r>
            <w:proofErr w:type="spellEnd"/>
            <w:r w:rsidRPr="00EF0BCB">
              <w:rPr>
                <w:rFonts w:cs="Calibri"/>
                <w:lang w:val="ro-RO"/>
              </w:rPr>
              <w:t xml:space="preserve"> </w:t>
            </w:r>
            <w:proofErr w:type="spellStart"/>
            <w:r w:rsidRPr="00EF0BCB">
              <w:rPr>
                <w:rFonts w:cs="Calibri"/>
                <w:lang w:val="ro-RO"/>
              </w:rPr>
              <w:t>equity</w:t>
            </w:r>
            <w:proofErr w:type="spellEnd"/>
            <w:r>
              <w:rPr>
                <w:rFonts w:cs="Calibri"/>
                <w:lang w:val="ro-RO"/>
              </w:rPr>
              <w:t xml:space="preserve"> si in prezentarea </w:t>
            </w:r>
            <w:proofErr w:type="spellStart"/>
            <w:r>
              <w:rPr>
                <w:rFonts w:cs="Calibri"/>
                <w:lang w:val="ro-RO"/>
              </w:rPr>
              <w:t>solutiilor</w:t>
            </w:r>
            <w:proofErr w:type="spellEnd"/>
            <w:r>
              <w:rPr>
                <w:rFonts w:cs="Calibri"/>
                <w:lang w:val="ro-RO"/>
              </w:rPr>
              <w:t xml:space="preserve"> de remediere</w:t>
            </w:r>
          </w:p>
        </w:tc>
        <w:tc>
          <w:tcPr>
            <w:tcW w:w="1695" w:type="dxa"/>
          </w:tcPr>
          <w:p w14:paraId="4BF77FD9" w14:textId="630C9B54" w:rsidR="00E0255D" w:rsidRPr="00AB51F7" w:rsidRDefault="00EF0BCB" w:rsidP="00752E1C">
            <w:pPr>
              <w:pStyle w:val="NoSpacing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100%</w:t>
            </w:r>
          </w:p>
        </w:tc>
      </w:tr>
      <w:tr w:rsidR="00E0255D" w:rsidRPr="00AB51F7" w14:paraId="51B60B6B" w14:textId="77777777" w:rsidTr="00802D13">
        <w:trPr>
          <w:trHeight w:val="567"/>
        </w:trPr>
        <w:tc>
          <w:tcPr>
            <w:tcW w:w="2581" w:type="dxa"/>
          </w:tcPr>
          <w:p w14:paraId="55D0D379" w14:textId="50BE772A" w:rsidR="00E0255D" w:rsidRPr="00AB51F7" w:rsidRDefault="008D1323" w:rsidP="00752E1C">
            <w:pPr>
              <w:pStyle w:val="NoSpacing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10</w:t>
            </w:r>
            <w:r w:rsidR="00E0255D" w:rsidRPr="00AB51F7">
              <w:rPr>
                <w:rFonts w:cs="Calibri"/>
                <w:lang w:val="ro-RO"/>
              </w:rPr>
              <w:t>.5 Seminar / laborator</w:t>
            </w:r>
          </w:p>
        </w:tc>
        <w:tc>
          <w:tcPr>
            <w:tcW w:w="1912" w:type="dxa"/>
          </w:tcPr>
          <w:p w14:paraId="474DB993" w14:textId="77777777" w:rsidR="00E0255D" w:rsidRPr="00AB51F7" w:rsidRDefault="00E0255D" w:rsidP="00752E1C">
            <w:pPr>
              <w:pStyle w:val="NoSpacing"/>
              <w:rPr>
                <w:rFonts w:cs="Calibri"/>
                <w:lang w:val="ro-RO"/>
              </w:rPr>
            </w:pPr>
          </w:p>
        </w:tc>
        <w:tc>
          <w:tcPr>
            <w:tcW w:w="3191" w:type="dxa"/>
          </w:tcPr>
          <w:p w14:paraId="0BD51678" w14:textId="681E9E34" w:rsidR="00E0255D" w:rsidRPr="00AB51F7" w:rsidRDefault="00E0255D" w:rsidP="00752E1C">
            <w:pPr>
              <w:pStyle w:val="NoSpacing"/>
              <w:rPr>
                <w:rFonts w:cs="Calibri"/>
                <w:lang w:val="ro-RO"/>
              </w:rPr>
            </w:pPr>
          </w:p>
        </w:tc>
        <w:tc>
          <w:tcPr>
            <w:tcW w:w="1695" w:type="dxa"/>
          </w:tcPr>
          <w:p w14:paraId="0AA4073B" w14:textId="77777777" w:rsidR="00E0255D" w:rsidRPr="00AB51F7" w:rsidRDefault="00E0255D" w:rsidP="00752E1C">
            <w:pPr>
              <w:pStyle w:val="NoSpacing"/>
              <w:rPr>
                <w:rFonts w:cs="Calibri"/>
                <w:lang w:val="ro-RO"/>
              </w:rPr>
            </w:pPr>
          </w:p>
        </w:tc>
      </w:tr>
      <w:tr w:rsidR="00802D13" w:rsidRPr="00AB51F7" w14:paraId="7753BD29" w14:textId="77777777" w:rsidTr="00802D13">
        <w:trPr>
          <w:trHeight w:val="413"/>
        </w:trPr>
        <w:tc>
          <w:tcPr>
            <w:tcW w:w="9379" w:type="dxa"/>
            <w:gridSpan w:val="4"/>
          </w:tcPr>
          <w:p w14:paraId="1AEC53B3" w14:textId="6DBB7B3F" w:rsidR="00802D13" w:rsidRPr="00AB51F7" w:rsidRDefault="008D1323" w:rsidP="00752E1C">
            <w:pPr>
              <w:pStyle w:val="NoSpacing"/>
              <w:rPr>
                <w:rFonts w:cs="Calibri"/>
                <w:lang w:val="ro-RO"/>
              </w:rPr>
            </w:pPr>
            <w:r w:rsidRPr="00AB51F7">
              <w:rPr>
                <w:rFonts w:cs="Calibri"/>
                <w:lang w:val="ro-RO"/>
              </w:rPr>
              <w:t>10</w:t>
            </w:r>
            <w:r w:rsidR="00802D13" w:rsidRPr="00AB51F7">
              <w:rPr>
                <w:rFonts w:cs="Calibri"/>
                <w:lang w:val="ro-RO"/>
              </w:rPr>
              <w:t>.6 Standard minim de performanță</w:t>
            </w:r>
          </w:p>
        </w:tc>
      </w:tr>
      <w:tr w:rsidR="00802D13" w:rsidRPr="00AB51F7" w14:paraId="00CB4107" w14:textId="77777777" w:rsidTr="00AA7D86">
        <w:trPr>
          <w:trHeight w:val="413"/>
        </w:trPr>
        <w:tc>
          <w:tcPr>
            <w:tcW w:w="9379" w:type="dxa"/>
            <w:gridSpan w:val="4"/>
          </w:tcPr>
          <w:p w14:paraId="7CF8107A" w14:textId="77777777" w:rsidR="00EF0BCB" w:rsidRDefault="00EF0BCB" w:rsidP="00EF0BCB">
            <w:pPr>
              <w:pStyle w:val="NoSpacing"/>
              <w:rPr>
                <w:rFonts w:asciiTheme="minorHAnsi" w:hAnsiTheme="minorHAnsi" w:cstheme="minorHAnsi"/>
                <w:b/>
                <w:sz w:val="18"/>
                <w:szCs w:val="18"/>
                <w:lang w:val="ro-RO"/>
              </w:rPr>
            </w:pPr>
            <w:r w:rsidRPr="00F927B7">
              <w:rPr>
                <w:rFonts w:asciiTheme="minorHAnsi" w:hAnsiTheme="minorHAnsi" w:cstheme="minorHAnsi"/>
                <w:lang w:val="ro-RO"/>
              </w:rPr>
              <w:t>Condiție de prezen</w:t>
            </w:r>
            <w:r>
              <w:rPr>
                <w:rFonts w:asciiTheme="minorHAnsi" w:hAnsiTheme="minorHAnsi" w:cstheme="minorHAnsi"/>
                <w:lang w:val="ro-RO"/>
              </w:rPr>
              <w:t>ță</w:t>
            </w:r>
            <w:r w:rsidRPr="00F927B7">
              <w:rPr>
                <w:rFonts w:asciiTheme="minorHAnsi" w:hAnsiTheme="minorHAnsi" w:cstheme="minorHAnsi"/>
                <w:lang w:val="ro-RO"/>
              </w:rPr>
              <w:t xml:space="preserve"> de 70% din </w:t>
            </w:r>
            <w:proofErr w:type="spellStart"/>
            <w:r w:rsidRPr="00F927B7">
              <w:rPr>
                <w:rFonts w:asciiTheme="minorHAnsi" w:hAnsiTheme="minorHAnsi" w:cstheme="minorHAnsi"/>
                <w:lang w:val="ro-RO"/>
              </w:rPr>
              <w:t>seminarii</w:t>
            </w:r>
            <w:proofErr w:type="spellEnd"/>
            <w:r w:rsidRPr="00F927B7">
              <w:rPr>
                <w:rFonts w:asciiTheme="minorHAnsi" w:hAnsiTheme="minorHAnsi" w:cstheme="minorHAnsi"/>
                <w:lang w:val="ro-RO"/>
              </w:rPr>
              <w:t xml:space="preserve"> sau 50% pentru cei care lucrează </w:t>
            </w:r>
            <w:r>
              <w:rPr>
                <w:rFonts w:asciiTheme="minorHAnsi" w:hAnsiTheme="minorHAnsi" w:cstheme="minorHAnsi"/>
                <w:lang w:val="ro-RO"/>
              </w:rPr>
              <w:t>ș</w:t>
            </w:r>
            <w:r w:rsidRPr="00F927B7">
              <w:rPr>
                <w:rFonts w:asciiTheme="minorHAnsi" w:hAnsiTheme="minorHAnsi" w:cstheme="minorHAnsi"/>
                <w:lang w:val="ro-RO"/>
              </w:rPr>
              <w:t xml:space="preserve">i aduc adeverințe </w:t>
            </w:r>
            <w:r>
              <w:rPr>
                <w:rFonts w:asciiTheme="minorHAnsi" w:hAnsiTheme="minorHAnsi" w:cstheme="minorHAnsi"/>
                <w:lang w:val="ro-RO"/>
              </w:rPr>
              <w:t>de la locul de muncă</w:t>
            </w:r>
            <w:r w:rsidRPr="00F927B7">
              <w:rPr>
                <w:rFonts w:asciiTheme="minorHAnsi" w:hAnsiTheme="minorHAnsi" w:cstheme="minorHAnsi"/>
                <w:lang w:val="ro-RO"/>
              </w:rPr>
              <w:br/>
            </w:r>
            <w:r w:rsidRPr="00F927B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o-RO"/>
              </w:rPr>
              <w:t>Nota finală este nota ob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val="ro-RO"/>
              </w:rPr>
              <w:t>ț</w:t>
            </w:r>
            <w:r w:rsidRPr="00F927B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o-RO"/>
              </w:rPr>
              <w:t xml:space="preserve">inuta in urma evaluării proiectului individual </w:t>
            </w:r>
            <w:commentRangeStart w:id="0"/>
            <w:r w:rsidRPr="00F927B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o-RO"/>
              </w:rPr>
              <w:t>d</w:t>
            </w:r>
            <w:commentRangeEnd w:id="0"/>
            <w:r w:rsidRPr="00F927B7">
              <w:rPr>
                <w:rStyle w:val="CommentReference"/>
                <w:rFonts w:asciiTheme="minorHAnsi" w:hAnsiTheme="minorHAnsi" w:cstheme="minorHAnsi"/>
                <w:b/>
                <w:bCs/>
                <w:sz w:val="18"/>
                <w:szCs w:val="18"/>
                <w:lang w:val="ro-RO"/>
              </w:rPr>
              <w:commentReference w:id="0"/>
            </w:r>
            <w:r w:rsidRPr="00F927B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o-RO"/>
              </w:rPr>
              <w:br/>
              <w:t xml:space="preserve">Nota minimă de trecere – 5 </w:t>
            </w:r>
            <w:r w:rsidRPr="00F927B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o-RO"/>
              </w:rPr>
              <w:br/>
            </w:r>
            <w:r w:rsidRPr="00F927B7">
              <w:rPr>
                <w:rFonts w:asciiTheme="minorHAnsi" w:hAnsiTheme="minorHAnsi" w:cstheme="minorHAnsi"/>
                <w:b/>
                <w:sz w:val="18"/>
                <w:szCs w:val="18"/>
                <w:lang w:val="ro-RO"/>
              </w:rPr>
              <w:t>In caz de restan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o-RO"/>
              </w:rPr>
              <w:t>ță</w:t>
            </w:r>
            <w:r w:rsidRPr="00F927B7">
              <w:rPr>
                <w:rFonts w:asciiTheme="minorHAnsi" w:hAnsiTheme="minorHAnsi" w:cstheme="minorHAnsi"/>
                <w:b/>
                <w:sz w:val="18"/>
                <w:szCs w:val="18"/>
                <w:lang w:val="ro-RO"/>
              </w:rPr>
              <w:t xml:space="preserve"> / solicitare de mărire de notă proiectul individual trebuie refăcut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o-RO"/>
              </w:rPr>
              <w:t xml:space="preserve"> cu o temă diferită</w:t>
            </w:r>
            <w:r w:rsidRPr="00F927B7">
              <w:rPr>
                <w:rFonts w:asciiTheme="minorHAnsi" w:hAnsiTheme="minorHAnsi" w:cstheme="minorHAnsi"/>
                <w:b/>
                <w:sz w:val="18"/>
                <w:szCs w:val="18"/>
                <w:lang w:val="ro-RO"/>
              </w:rPr>
              <w:t>.</w:t>
            </w:r>
          </w:p>
          <w:p w14:paraId="63D51674" w14:textId="77777777" w:rsidR="00802D13" w:rsidRPr="00AB51F7" w:rsidRDefault="00802D13" w:rsidP="00752E1C">
            <w:pPr>
              <w:pStyle w:val="NoSpacing"/>
              <w:rPr>
                <w:rFonts w:cs="Calibri"/>
                <w:lang w:val="ro-RO"/>
              </w:rPr>
            </w:pPr>
          </w:p>
        </w:tc>
      </w:tr>
    </w:tbl>
    <w:p w14:paraId="4FE0EF6C" w14:textId="39B0DF22" w:rsidR="00E0255D" w:rsidRPr="00AB51F7" w:rsidRDefault="00EF0BCB" w:rsidP="00752E1C">
      <w:pPr>
        <w:jc w:val="center"/>
        <w:rPr>
          <w:rFonts w:ascii="Calibri" w:hAnsi="Calibri" w:cs="Calibri"/>
          <w:sz w:val="20"/>
          <w:szCs w:val="20"/>
        </w:rPr>
      </w:pPr>
      <w:r w:rsidRPr="00F927B7">
        <w:rPr>
          <w:rFonts w:asciiTheme="minorHAnsi" w:eastAsia="Calibri" w:hAnsiTheme="minorHAnsi" w:cstheme="minorHAnsi"/>
          <w:noProof/>
          <w:lang w:eastAsia="en-US"/>
        </w:rPr>
        <w:drawing>
          <wp:anchor distT="0" distB="0" distL="114300" distR="114300" simplePos="0" relativeHeight="251659264" behindDoc="1" locked="0" layoutInCell="1" allowOverlap="1" wp14:anchorId="5EBCD4CD" wp14:editId="0518B3F8">
            <wp:simplePos x="0" y="0"/>
            <wp:positionH relativeFrom="column">
              <wp:posOffset>5229225</wp:posOffset>
            </wp:positionH>
            <wp:positionV relativeFrom="paragraph">
              <wp:posOffset>67310</wp:posOffset>
            </wp:positionV>
            <wp:extent cx="946785" cy="980440"/>
            <wp:effectExtent l="0" t="0" r="5715" b="0"/>
            <wp:wrapNone/>
            <wp:docPr id="2" name="Picture 2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&#10;&#10;Description automatically generated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46785" cy="980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F397D7" w14:textId="32035A80" w:rsidR="005F6BF6" w:rsidRPr="00AB51F7" w:rsidRDefault="005F6BF6" w:rsidP="00802D13">
      <w:pPr>
        <w:rPr>
          <w:rFonts w:ascii="Calibri" w:eastAsia="Calibri" w:hAnsi="Calibri" w:cs="Calibri"/>
          <w:sz w:val="20"/>
          <w:szCs w:val="20"/>
        </w:rPr>
      </w:pPr>
    </w:p>
    <w:p w14:paraId="2707918E" w14:textId="4028E91A" w:rsidR="00802D13" w:rsidRPr="00AB51F7" w:rsidRDefault="005F6BF6" w:rsidP="00802D13">
      <w:pPr>
        <w:rPr>
          <w:rFonts w:ascii="Calibri" w:eastAsia="Calibri" w:hAnsi="Calibri" w:cs="Calibri"/>
        </w:rPr>
      </w:pPr>
      <w:r w:rsidRPr="00AB51F7">
        <w:rPr>
          <w:rFonts w:ascii="Calibri" w:eastAsia="Calibri" w:hAnsi="Calibri" w:cs="Calibri"/>
        </w:rPr>
        <w:t>Data completării                                                                                                           Titular de disciplină</w:t>
      </w:r>
    </w:p>
    <w:p w14:paraId="02BBEA29" w14:textId="32491B81" w:rsidR="005F6BF6" w:rsidRPr="00AB51F7" w:rsidRDefault="00EF0BCB" w:rsidP="00802D13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31/01/2026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Dr. </w:t>
      </w:r>
      <w:proofErr w:type="spellStart"/>
      <w:r>
        <w:rPr>
          <w:rFonts w:ascii="Calibri" w:eastAsia="Calibri" w:hAnsi="Calibri" w:cs="Calibri"/>
        </w:rPr>
        <w:t>Virgă</w:t>
      </w:r>
      <w:proofErr w:type="spellEnd"/>
      <w:r>
        <w:rPr>
          <w:rFonts w:ascii="Calibri" w:eastAsia="Calibri" w:hAnsi="Calibri" w:cs="Calibri"/>
        </w:rPr>
        <w:t xml:space="preserve"> Petru</w:t>
      </w:r>
    </w:p>
    <w:p w14:paraId="5C94F5E2" w14:textId="77777777" w:rsidR="005F6BF6" w:rsidRPr="00AB51F7" w:rsidRDefault="005F6BF6" w:rsidP="00802D13">
      <w:pPr>
        <w:rPr>
          <w:rFonts w:ascii="Calibri" w:eastAsia="Calibri" w:hAnsi="Calibri" w:cs="Calibri"/>
        </w:rPr>
      </w:pPr>
    </w:p>
    <w:p w14:paraId="339B2856" w14:textId="5E763A39" w:rsidR="005F6BF6" w:rsidRPr="00AB51F7" w:rsidRDefault="005F6BF6" w:rsidP="00802D13">
      <w:pPr>
        <w:rPr>
          <w:rFonts w:ascii="Calibri" w:eastAsia="Calibri" w:hAnsi="Calibri" w:cs="Calibri"/>
        </w:rPr>
      </w:pPr>
      <w:r w:rsidRPr="00AB51F7">
        <w:rPr>
          <w:rFonts w:ascii="Calibri" w:eastAsia="Calibri" w:hAnsi="Calibri" w:cs="Calibri"/>
        </w:rPr>
        <w:t>Data avizării în departament                                                                            Director de departament</w:t>
      </w:r>
    </w:p>
    <w:sectPr w:rsidR="005F6BF6" w:rsidRPr="00AB51F7" w:rsidSect="009073AF"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 w:code="9"/>
      <w:pgMar w:top="1814" w:right="1134" w:bottom="1418" w:left="1418" w:header="289" w:footer="862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Coralia Sulea" w:date="2025-01-29T12:00:00Z" w:initials="CS">
    <w:p w14:paraId="539D166C" w14:textId="77777777" w:rsidR="00EF0BCB" w:rsidRDefault="00EF0BCB">
      <w:pPr>
        <w:pStyle w:val="CommentText"/>
      </w:pPr>
      <w:r>
        <w:rPr>
          <w:rStyle w:val="CommentReference"/>
        </w:rPr>
        <w:annotationRef/>
      </w:r>
      <w:r>
        <w:t xml:space="preserve">E precizat sarcina pentru marirea notei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39D166C" w15:done="1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39D166C" w16cid:durableId="3D75D45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26FAE8" w14:textId="77777777" w:rsidR="00343E74" w:rsidRDefault="00343E74" w:rsidP="003E226A">
      <w:r>
        <w:separator/>
      </w:r>
    </w:p>
  </w:endnote>
  <w:endnote w:type="continuationSeparator" w:id="0">
    <w:p w14:paraId="585CABCB" w14:textId="77777777" w:rsidR="00343E74" w:rsidRDefault="00343E74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211684261"/>
      <w:docPartObj>
        <w:docPartGallery w:val="Page Numbers (Bottom of Page)"/>
        <w:docPartUnique/>
      </w:docPartObj>
    </w:sdtPr>
    <w:sdtContent>
      <w:p w14:paraId="451A4BCF" w14:textId="77777777" w:rsidR="00193CCA" w:rsidRDefault="00193CCA" w:rsidP="00A0678C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1442831325"/>
      <w:docPartObj>
        <w:docPartGallery w:val="Page Numbers (Bottom of Page)"/>
        <w:docPartUnique/>
      </w:docPartObj>
    </w:sdtPr>
    <w:sdtContent>
      <w:p w14:paraId="1CDB2649" w14:textId="77777777" w:rsidR="00193CCA" w:rsidRDefault="00193CCA" w:rsidP="00A0678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E588016" w14:textId="77777777" w:rsidR="00193CCA" w:rsidRDefault="00193CCA" w:rsidP="00193CC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61488" w14:textId="77777777" w:rsidR="00DB40F7" w:rsidRPr="00F85CC7" w:rsidRDefault="00AE0BA9" w:rsidP="0086407E">
    <w:pPr>
      <w:ind w:right="360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69D3ED3" wp14:editId="698015A4">
              <wp:simplePos x="0" y="0"/>
              <wp:positionH relativeFrom="column">
                <wp:posOffset>-868045</wp:posOffset>
              </wp:positionH>
              <wp:positionV relativeFrom="paragraph">
                <wp:posOffset>152400</wp:posOffset>
              </wp:positionV>
              <wp:extent cx="7486015" cy="655955"/>
              <wp:effectExtent l="0" t="0" r="0" b="4445"/>
              <wp:wrapNone/>
              <wp:docPr id="2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48601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AD8C0F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9E30E76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</w:t>
                          </w:r>
                        </w:p>
                        <w:p w14:paraId="76AEBE19" w14:textId="77777777" w:rsidR="00B46A70" w:rsidRDefault="00B46A70" w:rsidP="00B46A70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  <w:p w14:paraId="28BFC13D" w14:textId="77777777" w:rsidR="00F85CC7" w:rsidRDefault="00F85CC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9D3E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68.35pt;margin-top:12pt;width:589.45pt;height:5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" strokecolor="white">
              <v:path arrowok="t"/>
              <v:textbox>
                <w:txbxContent>
                  <w:p w14:paraId="61AD8C0F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9E30E76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</w:t>
                    </w:r>
                  </w:p>
                  <w:p w14:paraId="76AEBE19" w14:textId="77777777" w:rsidR="00B46A70" w:rsidRDefault="00B46A70" w:rsidP="00B46A70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  <w:p w14:paraId="28BFC13D" w14:textId="77777777" w:rsidR="00F85CC7" w:rsidRDefault="00F85CC7"/>
                </w:txbxContent>
              </v:textbox>
            </v:shape>
          </w:pict>
        </mc:Fallback>
      </mc:AlternateContent>
    </w:r>
    <w:hyperlink r:id="rId5" w:history="1">
      <w:r w:rsidR="00886E5F" w:rsidRPr="00F85CC7">
        <w:rPr>
          <w:rStyle w:val="Hyperlink"/>
          <w:rFonts w:ascii="Arial Narrow" w:hAnsi="Arial Narrow" w:cs="Cambria"/>
          <w:color w:val="FFFFFF" w:themeColor="background1"/>
          <w:sz w:val="22"/>
          <w:szCs w:val="20"/>
          <w:lang w:val="en-US"/>
        </w:rPr>
        <w:t>Website: http://www.uvt.ro/</w:t>
      </w:r>
    </w:hyperlink>
  </w:p>
  <w:p w14:paraId="5C2E93B3" w14:textId="77777777" w:rsidR="001D34E8" w:rsidRDefault="001D34E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24CDF" w14:textId="77777777" w:rsidR="0086407E" w:rsidRDefault="0086407E">
    <w:pPr>
      <w:pStyle w:val="Footer"/>
    </w:pPr>
    <w:r>
      <w:rPr>
        <w:rFonts w:ascii="Arial Narrow" w:hAnsi="Arial Narrow" w:cs="Cambria"/>
        <w:noProof/>
        <w:color w:val="548DD4"/>
        <w:sz w:val="22"/>
        <w:szCs w:val="20"/>
        <w:lang w:val="en-US" w:eastAsia="en-US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152657B9" wp14:editId="7B00070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286625" cy="655955"/>
              <wp:effectExtent l="0" t="0" r="3175" b="4445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662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CB56F0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AD329B3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</w:p>
                        <w:p w14:paraId="71F3A33F" w14:textId="77777777" w:rsidR="0086407E" w:rsidRDefault="0086407E" w:rsidP="0086407E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2657B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0;width:573.75pt;height:51.65pt;z-index:251699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" strokecolor="white [3212]">
              <v:textbox>
                <w:txbxContent>
                  <w:p w14:paraId="73CB56F0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AD329B3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</w:p>
                  <w:p w14:paraId="71F3A33F" w14:textId="77777777" w:rsidR="0086407E" w:rsidRDefault="0086407E" w:rsidP="0086407E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74BF1" w14:textId="77777777" w:rsidR="00343E74" w:rsidRDefault="00343E74" w:rsidP="003E226A">
      <w:r>
        <w:separator/>
      </w:r>
    </w:p>
  </w:footnote>
  <w:footnote w:type="continuationSeparator" w:id="0">
    <w:p w14:paraId="3F89A0D2" w14:textId="77777777" w:rsidR="00343E74" w:rsidRDefault="00343E74" w:rsidP="003E226A">
      <w:r>
        <w:continuationSeparator/>
      </w:r>
    </w:p>
  </w:footnote>
  <w:footnote w:id="1">
    <w:p w14:paraId="3946D39D" w14:textId="0913AE0F" w:rsidR="00B81075" w:rsidRDefault="00B81075" w:rsidP="00A80917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Conform articolului 37, alineatul (1) din Legea învățământului superior nr. 199/2023, cu modificările și completările ulterioare, </w:t>
      </w:r>
      <w:r w:rsidRPr="00B81075">
        <w:rPr>
          <w:i/>
          <w:iCs/>
        </w:rPr>
        <w:t xml:space="preserve">„succesul academic al unui student pe parcursul unui program de studii este determinat prin </w:t>
      </w:r>
      <w:r w:rsidRPr="00B81075">
        <w:rPr>
          <w:b/>
          <w:bCs/>
          <w:i/>
          <w:iCs/>
        </w:rPr>
        <w:t>verificarea dobândirii rezultatelor așteptate ale învățării prin evaluări de tip examen și prin evaluarea pe parcurs</w:t>
      </w:r>
      <w:r w:rsidRPr="00B81075">
        <w:rPr>
          <w:i/>
          <w:iCs/>
        </w:rPr>
        <w:t>”</w:t>
      </w:r>
      <w:r w:rsidRPr="00B81075">
        <w:t>.</w:t>
      </w:r>
    </w:p>
  </w:footnote>
  <w:footnote w:id="2">
    <w:p w14:paraId="2B40C086" w14:textId="50D1CB7D" w:rsidR="00A80917" w:rsidRPr="001E3E32" w:rsidRDefault="00A80917" w:rsidP="00A80917">
      <w:pPr>
        <w:pStyle w:val="FootnoteText"/>
        <w:jc w:val="both"/>
      </w:pPr>
      <w:r w:rsidRPr="001E3E32">
        <w:rPr>
          <w:rStyle w:val="FootnoteReference"/>
        </w:rPr>
        <w:footnoteRef/>
      </w:r>
      <w:r w:rsidRPr="001E3E32">
        <w:t xml:space="preserve"> </w:t>
      </w:r>
      <w:r w:rsidRPr="001E3E32">
        <w:t xml:space="preserve">Se va avea în vedere corelarea numărului total de ore didactice și de studiu individual cu numărul de credite alocat disciplinei. 1 credit = între 25 și 30 de ore de activități didactice și de studiu individual. </w:t>
      </w:r>
      <w:r w:rsidR="004C17B5" w:rsidRPr="001E3E32">
        <w:t>La nivelul departamentelor didactice se</w:t>
      </w:r>
      <w:r w:rsidRPr="001E3E32">
        <w:t xml:space="preserve"> po</w:t>
      </w:r>
      <w:r w:rsidR="004C17B5" w:rsidRPr="001E3E32">
        <w:t>a</w:t>
      </w:r>
      <w:r w:rsidRPr="001E3E32">
        <w:t>t</w:t>
      </w:r>
      <w:r w:rsidR="004C17B5" w:rsidRPr="001E3E32">
        <w:t>e</w:t>
      </w:r>
      <w:r w:rsidRPr="001E3E32">
        <w:t xml:space="preserve"> stabili, pe categorii de discipline, echivalența exactă dintre un credit și numărul de ore.</w:t>
      </w:r>
    </w:p>
  </w:footnote>
  <w:footnote w:id="3">
    <w:p w14:paraId="0403CCFA" w14:textId="42C89506" w:rsidR="00A80917" w:rsidRPr="001E3E32" w:rsidRDefault="00A80917" w:rsidP="00A80917">
      <w:pPr>
        <w:pStyle w:val="FootnoteText"/>
        <w:jc w:val="both"/>
      </w:pPr>
      <w:r w:rsidRPr="001E3E32">
        <w:rPr>
          <w:rStyle w:val="FootnoteReference"/>
        </w:rPr>
        <w:footnoteRef/>
      </w:r>
      <w:r w:rsidRPr="001E3E32">
        <w:t xml:space="preserve"> </w:t>
      </w:r>
      <w:r w:rsidRPr="001E3E32">
        <w:t>Orele aferente examinărilor se adună doar la punctul 3.8 – Total ore pe semestru, nu și la punctul 3.7 – Total ore de studiu individual.</w:t>
      </w:r>
    </w:p>
  </w:footnote>
  <w:footnote w:id="4">
    <w:p w14:paraId="26BBE2E6" w14:textId="451C5EC3" w:rsidR="00A80917" w:rsidRDefault="00A80917" w:rsidP="006422F4">
      <w:pPr>
        <w:pStyle w:val="FootnoteText"/>
        <w:jc w:val="both"/>
      </w:pPr>
      <w:r w:rsidRPr="001E3E32">
        <w:rPr>
          <w:rStyle w:val="FootnoteReference"/>
        </w:rPr>
        <w:footnoteRef/>
      </w:r>
      <w:r w:rsidRPr="001E3E32">
        <w:t xml:space="preserve"> </w:t>
      </w:r>
      <w:r w:rsidRPr="001E3E32">
        <w:t xml:space="preserve">Total ore pe semestru = </w:t>
      </w:r>
      <w:r w:rsidR="006445E5" w:rsidRPr="001E3E32">
        <w:t>total ore din planul de învățământ</w:t>
      </w:r>
      <w:r w:rsidRPr="001E3E32">
        <w:t xml:space="preserve"> + total ore studiu individual + ore alocate examinărilor.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F025B" w14:textId="34E56259" w:rsidR="001D34E8" w:rsidRDefault="00AB07CD" w:rsidP="00802D13">
    <w:pPr>
      <w:pStyle w:val="Header"/>
      <w:tabs>
        <w:tab w:val="clear" w:pos="4536"/>
        <w:tab w:val="clear" w:pos="9072"/>
      </w:tabs>
      <w:ind w:right="-158"/>
    </w:pPr>
    <w:bookmarkStart w:id="1" w:name="_Hlk52889598"/>
    <w:bookmarkStart w:id="2" w:name="_Hlk52889599"/>
    <w:bookmarkStart w:id="3" w:name="_Hlk52889616"/>
    <w:bookmarkStart w:id="4" w:name="_Hlk52889617"/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9C0A4D4" wp14:editId="4E304C67">
              <wp:simplePos x="0" y="0"/>
              <wp:positionH relativeFrom="column">
                <wp:posOffset>1812290</wp:posOffset>
              </wp:positionH>
              <wp:positionV relativeFrom="paragraph">
                <wp:posOffset>306251</wp:posOffset>
              </wp:positionV>
              <wp:extent cx="4751070" cy="375920"/>
              <wp:effectExtent l="0" t="0" r="0" b="0"/>
              <wp:wrapNone/>
              <wp:docPr id="2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9B769" w14:textId="166C9F8A" w:rsidR="001D34E8" w:rsidRPr="007A49D1" w:rsidRDefault="00884B42" w:rsidP="007A49D1">
                          <w:pPr>
                            <w:pStyle w:val="Subtitle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</w:t>
                          </w:r>
                          <w:r w:rsidR="00301AAB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 xml:space="preserve"> ȘI CERCETĂRII</w:t>
                          </w:r>
                        </w:p>
                        <w:p w14:paraId="349E0F56" w14:textId="77777777" w:rsidR="00884B42" w:rsidRDefault="00884B42" w:rsidP="007A49D1">
                          <w:pPr>
                            <w:pStyle w:val="Subtitle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2EBF2811" w14:textId="77777777" w:rsidR="002A2C06" w:rsidRPr="002A2C06" w:rsidRDefault="002A2C06" w:rsidP="002A2C06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0A4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2.7pt;margin-top:24.1pt;width:374.1pt;height:2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uF75QEAALM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" stroked="f">
              <v:path arrowok="t"/>
              <v:textbox>
                <w:txbxContent>
                  <w:p w14:paraId="4B19B769" w14:textId="166C9F8A" w:rsidR="001D34E8" w:rsidRPr="007A49D1" w:rsidRDefault="00884B42" w:rsidP="007A49D1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</w:t>
                    </w:r>
                    <w:r w:rsidR="00301AAB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 xml:space="preserve"> ȘI CERCETĂRII</w:t>
                    </w:r>
                  </w:p>
                  <w:p w14:paraId="349E0F56" w14:textId="77777777" w:rsidR="00884B42" w:rsidRDefault="00884B42" w:rsidP="007A49D1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2EBF2811" w14:textId="77777777" w:rsidR="002A2C06" w:rsidRPr="002A2C06" w:rsidRDefault="002A2C06" w:rsidP="002A2C06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802D13">
      <w:rPr>
        <w:noProof/>
      </w:rPr>
      <w:drawing>
        <wp:anchor distT="0" distB="0" distL="114300" distR="114300" simplePos="0" relativeHeight="251693056" behindDoc="0" locked="0" layoutInCell="1" allowOverlap="1" wp14:anchorId="4A5C2894" wp14:editId="45C29E75">
          <wp:simplePos x="0" y="0"/>
          <wp:positionH relativeFrom="page">
            <wp:posOffset>457200</wp:posOffset>
          </wp:positionH>
          <wp:positionV relativeFrom="paragraph">
            <wp:posOffset>2268</wp:posOffset>
          </wp:positionV>
          <wp:extent cx="2476500" cy="852805"/>
          <wp:effectExtent l="0" t="0" r="0" b="0"/>
          <wp:wrapNone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7A49D1">
      <w:rPr>
        <w:noProof/>
        <w:lang w:val="en-US" w:eastAsia="en-US"/>
      </w:rPr>
      <w:drawing>
        <wp:anchor distT="0" distB="0" distL="114300" distR="114300" simplePos="0" relativeHeight="251692032" behindDoc="0" locked="0" layoutInCell="1" allowOverlap="1" wp14:anchorId="6BDC9539" wp14:editId="08559762">
          <wp:simplePos x="0" y="0"/>
          <wp:positionH relativeFrom="column">
            <wp:posOffset>725170</wp:posOffset>
          </wp:positionH>
          <wp:positionV relativeFrom="paragraph">
            <wp:posOffset>877619</wp:posOffset>
          </wp:positionV>
          <wp:extent cx="5930900" cy="38100"/>
          <wp:effectExtent l="0" t="0" r="0" b="0"/>
          <wp:wrapNone/>
          <wp:docPr id="1" name="Picture 1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1"/>
    <w:bookmarkEnd w:id="2"/>
    <w:bookmarkEnd w:id="3"/>
    <w:bookmarkEnd w:id="4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FE47D" w14:textId="77777777" w:rsidR="00193CCA" w:rsidRDefault="00AE0BA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1CB317B" wp14:editId="1B363405">
              <wp:simplePos x="0" y="0"/>
              <wp:positionH relativeFrom="column">
                <wp:posOffset>1822450</wp:posOffset>
              </wp:positionH>
              <wp:positionV relativeFrom="paragraph">
                <wp:posOffset>528320</wp:posOffset>
              </wp:positionV>
              <wp:extent cx="4751070" cy="375920"/>
              <wp:effectExtent l="0" t="0" r="0" b="0"/>
              <wp:wrapNone/>
              <wp:docPr id="3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ACE1F7" w14:textId="77777777" w:rsidR="0086407E" w:rsidRPr="007A49D1" w:rsidRDefault="0086407E" w:rsidP="0086407E">
                          <w:pPr>
                            <w:pStyle w:val="Subtitle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 NAȚIONALE</w:t>
                          </w:r>
                        </w:p>
                        <w:p w14:paraId="37659CF8" w14:textId="77777777" w:rsidR="0086407E" w:rsidRPr="00884B42" w:rsidRDefault="0086407E" w:rsidP="0086407E">
                          <w:pPr>
                            <w:pStyle w:val="Subtitle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5043A092" w14:textId="77777777" w:rsidR="00193CCA" w:rsidRPr="002A2C06" w:rsidRDefault="00193CCA" w:rsidP="00193CCA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CB317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43.5pt;margin-top:41.6pt;width:374.1pt;height:29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pMV6gEAALo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" stroked="f">
              <v:path arrowok="t"/>
              <v:textbox>
                <w:txbxContent>
                  <w:p w14:paraId="44ACE1F7" w14:textId="77777777" w:rsidR="0086407E" w:rsidRPr="007A49D1" w:rsidRDefault="0086407E" w:rsidP="0086407E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 NAȚIONALE</w:t>
                    </w:r>
                  </w:p>
                  <w:p w14:paraId="37659CF8" w14:textId="77777777" w:rsidR="0086407E" w:rsidRPr="00884B42" w:rsidRDefault="0086407E" w:rsidP="0086407E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5043A092" w14:textId="77777777" w:rsidR="00193CCA" w:rsidRPr="002A2C06" w:rsidRDefault="00193CCA" w:rsidP="00193CCA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193CCA" w:rsidRPr="00193CCA">
      <w:rPr>
        <w:noProof/>
      </w:rPr>
      <w:drawing>
        <wp:anchor distT="0" distB="0" distL="114300" distR="114300" simplePos="0" relativeHeight="251697152" behindDoc="0" locked="0" layoutInCell="1" allowOverlap="1" wp14:anchorId="097672DF" wp14:editId="20217A54">
          <wp:simplePos x="0" y="0"/>
          <wp:positionH relativeFrom="column">
            <wp:posOffset>-467360</wp:posOffset>
          </wp:positionH>
          <wp:positionV relativeFrom="paragraph">
            <wp:posOffset>60325</wp:posOffset>
          </wp:positionV>
          <wp:extent cx="2476500" cy="852805"/>
          <wp:effectExtent l="0" t="0" r="0" b="0"/>
          <wp:wrapNone/>
          <wp:docPr id="3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193CCA" w:rsidRPr="00193CCA">
      <w:rPr>
        <w:noProof/>
      </w:rPr>
      <w:drawing>
        <wp:anchor distT="0" distB="0" distL="114300" distR="114300" simplePos="0" relativeHeight="251696128" behindDoc="0" locked="0" layoutInCell="1" allowOverlap="1" wp14:anchorId="3F5EAD86" wp14:editId="2E33D2AF">
          <wp:simplePos x="0" y="0"/>
          <wp:positionH relativeFrom="column">
            <wp:posOffset>723265</wp:posOffset>
          </wp:positionH>
          <wp:positionV relativeFrom="paragraph">
            <wp:posOffset>937895</wp:posOffset>
          </wp:positionV>
          <wp:extent cx="5930900" cy="38100"/>
          <wp:effectExtent l="0" t="0" r="0" b="0"/>
          <wp:wrapNone/>
          <wp:docPr id="33" name="Picture 33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57630"/>
    <w:multiLevelType w:val="hybridMultilevel"/>
    <w:tmpl w:val="0614A064"/>
    <w:lvl w:ilvl="0" w:tplc="AE2A1B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C562B6"/>
    <w:multiLevelType w:val="hybridMultilevel"/>
    <w:tmpl w:val="68782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261AF"/>
    <w:multiLevelType w:val="hybridMultilevel"/>
    <w:tmpl w:val="A9D013D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CF41DC"/>
    <w:multiLevelType w:val="hybridMultilevel"/>
    <w:tmpl w:val="79DC571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A5241F"/>
    <w:multiLevelType w:val="hybridMultilevel"/>
    <w:tmpl w:val="27FEBD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5736512"/>
    <w:multiLevelType w:val="hybridMultilevel"/>
    <w:tmpl w:val="8078E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332823"/>
    <w:multiLevelType w:val="hybridMultilevel"/>
    <w:tmpl w:val="436CE0BC"/>
    <w:lvl w:ilvl="0" w:tplc="B24EE50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B51252"/>
    <w:multiLevelType w:val="hybridMultilevel"/>
    <w:tmpl w:val="075E1322"/>
    <w:lvl w:ilvl="0" w:tplc="7008625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1A46A7"/>
    <w:multiLevelType w:val="hybridMultilevel"/>
    <w:tmpl w:val="7BD2A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3C5A0CF2"/>
    <w:multiLevelType w:val="multilevel"/>
    <w:tmpl w:val="A442F5D4"/>
    <w:lvl w:ilvl="0">
      <w:start w:val="1"/>
      <w:numFmt w:val="bullet"/>
      <w:lvlText w:val=""/>
      <w:lvlJc w:val="left"/>
      <w:pPr>
        <w:ind w:left="1440" w:hanging="144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8" w15:restartNumberingAfterBreak="0">
    <w:nsid w:val="413B44A2"/>
    <w:multiLevelType w:val="hybridMultilevel"/>
    <w:tmpl w:val="AFF4A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B269EE"/>
    <w:multiLevelType w:val="hybridMultilevel"/>
    <w:tmpl w:val="A91AC7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0C66F91"/>
    <w:multiLevelType w:val="hybridMultilevel"/>
    <w:tmpl w:val="A16AEB8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AE6DEA"/>
    <w:multiLevelType w:val="hybridMultilevel"/>
    <w:tmpl w:val="FA808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F83772A"/>
    <w:multiLevelType w:val="hybridMultilevel"/>
    <w:tmpl w:val="96D4D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AA4857"/>
    <w:multiLevelType w:val="hybridMultilevel"/>
    <w:tmpl w:val="EFE263C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8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CF12FD4"/>
    <w:multiLevelType w:val="hybridMultilevel"/>
    <w:tmpl w:val="9C5E6D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1CB4D97"/>
    <w:multiLevelType w:val="hybridMultilevel"/>
    <w:tmpl w:val="42343B9C"/>
    <w:lvl w:ilvl="0" w:tplc="6812E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6C3BDA"/>
    <w:multiLevelType w:val="hybridMultilevel"/>
    <w:tmpl w:val="56660E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7B10AAF"/>
    <w:multiLevelType w:val="hybridMultilevel"/>
    <w:tmpl w:val="F64A0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FB479C"/>
    <w:multiLevelType w:val="hybridMultilevel"/>
    <w:tmpl w:val="DE003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7913331">
    <w:abstractNumId w:val="28"/>
  </w:num>
  <w:num w:numId="2" w16cid:durableId="90396843">
    <w:abstractNumId w:val="0"/>
  </w:num>
  <w:num w:numId="3" w16cid:durableId="1192718609">
    <w:abstractNumId w:val="14"/>
  </w:num>
  <w:num w:numId="4" w16cid:durableId="138232326">
    <w:abstractNumId w:val="8"/>
  </w:num>
  <w:num w:numId="5" w16cid:durableId="137429682">
    <w:abstractNumId w:val="31"/>
  </w:num>
  <w:num w:numId="6" w16cid:durableId="302006953">
    <w:abstractNumId w:val="15"/>
  </w:num>
  <w:num w:numId="7" w16cid:durableId="688290793">
    <w:abstractNumId w:val="9"/>
  </w:num>
  <w:num w:numId="8" w16cid:durableId="1116408978">
    <w:abstractNumId w:val="6"/>
  </w:num>
  <w:num w:numId="9" w16cid:durableId="643042665">
    <w:abstractNumId w:val="23"/>
  </w:num>
  <w:num w:numId="10" w16cid:durableId="393817609">
    <w:abstractNumId w:val="20"/>
  </w:num>
  <w:num w:numId="11" w16cid:durableId="1421179909">
    <w:abstractNumId w:val="17"/>
  </w:num>
  <w:num w:numId="12" w16cid:durableId="1566918926">
    <w:abstractNumId w:val="12"/>
  </w:num>
  <w:num w:numId="13" w16cid:durableId="310990044">
    <w:abstractNumId w:val="29"/>
  </w:num>
  <w:num w:numId="14" w16cid:durableId="1002506713">
    <w:abstractNumId w:val="3"/>
  </w:num>
  <w:num w:numId="15" w16cid:durableId="1255432065">
    <w:abstractNumId w:val="13"/>
  </w:num>
  <w:num w:numId="16" w16cid:durableId="217281457">
    <w:abstractNumId w:val="25"/>
  </w:num>
  <w:num w:numId="17" w16cid:durableId="1870873637">
    <w:abstractNumId w:val="33"/>
  </w:num>
  <w:num w:numId="18" w16cid:durableId="624510688">
    <w:abstractNumId w:val="10"/>
  </w:num>
  <w:num w:numId="19" w16cid:durableId="464010501">
    <w:abstractNumId w:val="4"/>
  </w:num>
  <w:num w:numId="20" w16cid:durableId="745808500">
    <w:abstractNumId w:val="18"/>
  </w:num>
  <w:num w:numId="21" w16cid:durableId="943684859">
    <w:abstractNumId w:val="27"/>
  </w:num>
  <w:num w:numId="22" w16cid:durableId="964240544">
    <w:abstractNumId w:val="32"/>
  </w:num>
  <w:num w:numId="23" w16cid:durableId="1632706326">
    <w:abstractNumId w:val="22"/>
  </w:num>
  <w:num w:numId="24" w16cid:durableId="376199165">
    <w:abstractNumId w:val="30"/>
  </w:num>
  <w:num w:numId="25" w16cid:durableId="119230939">
    <w:abstractNumId w:val="34"/>
  </w:num>
  <w:num w:numId="26" w16cid:durableId="586768112">
    <w:abstractNumId w:val="2"/>
  </w:num>
  <w:num w:numId="27" w16cid:durableId="377583453">
    <w:abstractNumId w:val="24"/>
  </w:num>
  <w:num w:numId="28" w16cid:durableId="209801297">
    <w:abstractNumId w:val="26"/>
  </w:num>
  <w:num w:numId="29" w16cid:durableId="556666742">
    <w:abstractNumId w:val="7"/>
  </w:num>
  <w:num w:numId="30" w16cid:durableId="939220404">
    <w:abstractNumId w:val="1"/>
  </w:num>
  <w:num w:numId="31" w16cid:durableId="938757946">
    <w:abstractNumId w:val="5"/>
  </w:num>
  <w:num w:numId="32" w16cid:durableId="1954556328">
    <w:abstractNumId w:val="21"/>
  </w:num>
  <w:num w:numId="33" w16cid:durableId="885217774">
    <w:abstractNumId w:val="19"/>
  </w:num>
  <w:num w:numId="34" w16cid:durableId="366760280">
    <w:abstractNumId w:val="11"/>
  </w:num>
  <w:num w:numId="35" w16cid:durableId="335109855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oralia Sulea">
    <w15:presenceInfo w15:providerId="None" w15:userId="Coralia Sule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xNDUwNrM0MbK0NDMztDRR0lEKTi0uzszPAykwrAUA3DJrdCwAAAA="/>
  </w:docVars>
  <w:rsids>
    <w:rsidRoot w:val="00C81D57"/>
    <w:rsid w:val="00001FE1"/>
    <w:rsid w:val="00006384"/>
    <w:rsid w:val="00006A11"/>
    <w:rsid w:val="00017556"/>
    <w:rsid w:val="00027099"/>
    <w:rsid w:val="00032DAB"/>
    <w:rsid w:val="00041189"/>
    <w:rsid w:val="000415DE"/>
    <w:rsid w:val="00042BA9"/>
    <w:rsid w:val="00043DB9"/>
    <w:rsid w:val="000458CE"/>
    <w:rsid w:val="0004729D"/>
    <w:rsid w:val="00050255"/>
    <w:rsid w:val="00050D48"/>
    <w:rsid w:val="00053D42"/>
    <w:rsid w:val="00055AEB"/>
    <w:rsid w:val="00057048"/>
    <w:rsid w:val="000628E6"/>
    <w:rsid w:val="0006553A"/>
    <w:rsid w:val="00070CEA"/>
    <w:rsid w:val="00072637"/>
    <w:rsid w:val="00073DE4"/>
    <w:rsid w:val="00073E3B"/>
    <w:rsid w:val="00075093"/>
    <w:rsid w:val="0009025F"/>
    <w:rsid w:val="00095FBB"/>
    <w:rsid w:val="0009720E"/>
    <w:rsid w:val="000A03D0"/>
    <w:rsid w:val="000A4C02"/>
    <w:rsid w:val="000A7066"/>
    <w:rsid w:val="000B0AC4"/>
    <w:rsid w:val="000B2C52"/>
    <w:rsid w:val="000B5CF5"/>
    <w:rsid w:val="000C2457"/>
    <w:rsid w:val="000C5737"/>
    <w:rsid w:val="000C5DD6"/>
    <w:rsid w:val="000E4972"/>
    <w:rsid w:val="000E6269"/>
    <w:rsid w:val="00104CA0"/>
    <w:rsid w:val="001140D1"/>
    <w:rsid w:val="00116B1B"/>
    <w:rsid w:val="00116CFD"/>
    <w:rsid w:val="00125B83"/>
    <w:rsid w:val="00131150"/>
    <w:rsid w:val="00131523"/>
    <w:rsid w:val="00135278"/>
    <w:rsid w:val="00135E0B"/>
    <w:rsid w:val="001452D6"/>
    <w:rsid w:val="00145825"/>
    <w:rsid w:val="00145D1B"/>
    <w:rsid w:val="001568BE"/>
    <w:rsid w:val="001576EC"/>
    <w:rsid w:val="001649A6"/>
    <w:rsid w:val="00167F31"/>
    <w:rsid w:val="00170DB6"/>
    <w:rsid w:val="001744E9"/>
    <w:rsid w:val="00193CCA"/>
    <w:rsid w:val="001949D1"/>
    <w:rsid w:val="001A3279"/>
    <w:rsid w:val="001A47C9"/>
    <w:rsid w:val="001C0079"/>
    <w:rsid w:val="001C7CDD"/>
    <w:rsid w:val="001D34E8"/>
    <w:rsid w:val="001D564A"/>
    <w:rsid w:val="001D7686"/>
    <w:rsid w:val="001E2FEE"/>
    <w:rsid w:val="001E3E32"/>
    <w:rsid w:val="001E5ED5"/>
    <w:rsid w:val="001E69C6"/>
    <w:rsid w:val="001F0D15"/>
    <w:rsid w:val="001F5BE0"/>
    <w:rsid w:val="00201477"/>
    <w:rsid w:val="00205AE4"/>
    <w:rsid w:val="002151BA"/>
    <w:rsid w:val="002415BB"/>
    <w:rsid w:val="00242267"/>
    <w:rsid w:val="00242472"/>
    <w:rsid w:val="0024351A"/>
    <w:rsid w:val="002458CB"/>
    <w:rsid w:val="00251A6A"/>
    <w:rsid w:val="002529AD"/>
    <w:rsid w:val="00256D69"/>
    <w:rsid w:val="002644F8"/>
    <w:rsid w:val="00272E14"/>
    <w:rsid w:val="00284010"/>
    <w:rsid w:val="00286335"/>
    <w:rsid w:val="00287419"/>
    <w:rsid w:val="0029063D"/>
    <w:rsid w:val="002A007E"/>
    <w:rsid w:val="002A2C06"/>
    <w:rsid w:val="002A3C87"/>
    <w:rsid w:val="002B11E0"/>
    <w:rsid w:val="002B6BDC"/>
    <w:rsid w:val="002B71D3"/>
    <w:rsid w:val="002C64E3"/>
    <w:rsid w:val="002D112C"/>
    <w:rsid w:val="002D2F0E"/>
    <w:rsid w:val="002D3D67"/>
    <w:rsid w:val="002E0EBF"/>
    <w:rsid w:val="002E4EA3"/>
    <w:rsid w:val="00301AAB"/>
    <w:rsid w:val="003050F3"/>
    <w:rsid w:val="003147A3"/>
    <w:rsid w:val="00323381"/>
    <w:rsid w:val="003245CA"/>
    <w:rsid w:val="00327BCE"/>
    <w:rsid w:val="00327C5B"/>
    <w:rsid w:val="00334DB2"/>
    <w:rsid w:val="0033622C"/>
    <w:rsid w:val="00341A37"/>
    <w:rsid w:val="00343E74"/>
    <w:rsid w:val="00344816"/>
    <w:rsid w:val="003450B2"/>
    <w:rsid w:val="00353E55"/>
    <w:rsid w:val="00354046"/>
    <w:rsid w:val="0036054E"/>
    <w:rsid w:val="00367502"/>
    <w:rsid w:val="00370AE3"/>
    <w:rsid w:val="003770D2"/>
    <w:rsid w:val="0038731B"/>
    <w:rsid w:val="003918B5"/>
    <w:rsid w:val="003A6F97"/>
    <w:rsid w:val="003A7FA0"/>
    <w:rsid w:val="003B34C1"/>
    <w:rsid w:val="003B35A4"/>
    <w:rsid w:val="003C378C"/>
    <w:rsid w:val="003D11EA"/>
    <w:rsid w:val="003D1548"/>
    <w:rsid w:val="003D3102"/>
    <w:rsid w:val="003D62D7"/>
    <w:rsid w:val="003E0752"/>
    <w:rsid w:val="003E226A"/>
    <w:rsid w:val="003E2F59"/>
    <w:rsid w:val="003F0E91"/>
    <w:rsid w:val="003F6684"/>
    <w:rsid w:val="003F6BE0"/>
    <w:rsid w:val="004060ED"/>
    <w:rsid w:val="00407275"/>
    <w:rsid w:val="004102A8"/>
    <w:rsid w:val="0041260C"/>
    <w:rsid w:val="00416F51"/>
    <w:rsid w:val="0043147D"/>
    <w:rsid w:val="004422B3"/>
    <w:rsid w:val="004501A3"/>
    <w:rsid w:val="00455B8A"/>
    <w:rsid w:val="00465F44"/>
    <w:rsid w:val="00477728"/>
    <w:rsid w:val="00480F05"/>
    <w:rsid w:val="0048385D"/>
    <w:rsid w:val="004923C5"/>
    <w:rsid w:val="004943E4"/>
    <w:rsid w:val="00495AFA"/>
    <w:rsid w:val="004A2A78"/>
    <w:rsid w:val="004B273C"/>
    <w:rsid w:val="004C17B5"/>
    <w:rsid w:val="004C26CD"/>
    <w:rsid w:val="004C52CD"/>
    <w:rsid w:val="004D00FF"/>
    <w:rsid w:val="004D3C1E"/>
    <w:rsid w:val="004E2722"/>
    <w:rsid w:val="004E651D"/>
    <w:rsid w:val="004F4E84"/>
    <w:rsid w:val="004F56A6"/>
    <w:rsid w:val="004F7D9A"/>
    <w:rsid w:val="005028ED"/>
    <w:rsid w:val="00503339"/>
    <w:rsid w:val="00503E4C"/>
    <w:rsid w:val="00510990"/>
    <w:rsid w:val="00514EE5"/>
    <w:rsid w:val="0052502B"/>
    <w:rsid w:val="00533064"/>
    <w:rsid w:val="00541391"/>
    <w:rsid w:val="0054275A"/>
    <w:rsid w:val="0054438F"/>
    <w:rsid w:val="00546A4B"/>
    <w:rsid w:val="0055224E"/>
    <w:rsid w:val="00566E99"/>
    <w:rsid w:val="00576777"/>
    <w:rsid w:val="0058625E"/>
    <w:rsid w:val="005958A0"/>
    <w:rsid w:val="005A1742"/>
    <w:rsid w:val="005A6256"/>
    <w:rsid w:val="005A6B42"/>
    <w:rsid w:val="005B1261"/>
    <w:rsid w:val="005B3F6F"/>
    <w:rsid w:val="005B56D2"/>
    <w:rsid w:val="005C03A3"/>
    <w:rsid w:val="005C270F"/>
    <w:rsid w:val="005C3E29"/>
    <w:rsid w:val="005C4252"/>
    <w:rsid w:val="005C7CAD"/>
    <w:rsid w:val="005D3919"/>
    <w:rsid w:val="005D5DEA"/>
    <w:rsid w:val="005E19CF"/>
    <w:rsid w:val="005E3570"/>
    <w:rsid w:val="005E413D"/>
    <w:rsid w:val="005F537E"/>
    <w:rsid w:val="005F5A9B"/>
    <w:rsid w:val="005F6BF6"/>
    <w:rsid w:val="005F7515"/>
    <w:rsid w:val="00601B39"/>
    <w:rsid w:val="00604AC4"/>
    <w:rsid w:val="0061131E"/>
    <w:rsid w:val="0061141E"/>
    <w:rsid w:val="006134BF"/>
    <w:rsid w:val="0061626D"/>
    <w:rsid w:val="00622927"/>
    <w:rsid w:val="00630F7B"/>
    <w:rsid w:val="00631B5E"/>
    <w:rsid w:val="00634D14"/>
    <w:rsid w:val="00634DA4"/>
    <w:rsid w:val="00634F07"/>
    <w:rsid w:val="00641655"/>
    <w:rsid w:val="006422F4"/>
    <w:rsid w:val="006445E5"/>
    <w:rsid w:val="00645141"/>
    <w:rsid w:val="006454F6"/>
    <w:rsid w:val="00646201"/>
    <w:rsid w:val="00647AFB"/>
    <w:rsid w:val="00650125"/>
    <w:rsid w:val="006504DE"/>
    <w:rsid w:val="00650BD7"/>
    <w:rsid w:val="00664419"/>
    <w:rsid w:val="00664BDD"/>
    <w:rsid w:val="0066683F"/>
    <w:rsid w:val="00675A4C"/>
    <w:rsid w:val="00680316"/>
    <w:rsid w:val="0068330D"/>
    <w:rsid w:val="00684621"/>
    <w:rsid w:val="0068626E"/>
    <w:rsid w:val="00686649"/>
    <w:rsid w:val="00696C21"/>
    <w:rsid w:val="006A03FD"/>
    <w:rsid w:val="006A4078"/>
    <w:rsid w:val="006B1918"/>
    <w:rsid w:val="006B5128"/>
    <w:rsid w:val="006C68F5"/>
    <w:rsid w:val="006E2D60"/>
    <w:rsid w:val="006E5E5F"/>
    <w:rsid w:val="00700816"/>
    <w:rsid w:val="00700F45"/>
    <w:rsid w:val="0070415C"/>
    <w:rsid w:val="00704752"/>
    <w:rsid w:val="00711409"/>
    <w:rsid w:val="00713E4D"/>
    <w:rsid w:val="0072653D"/>
    <w:rsid w:val="00735E50"/>
    <w:rsid w:val="00752E1C"/>
    <w:rsid w:val="007668E1"/>
    <w:rsid w:val="007675A4"/>
    <w:rsid w:val="00775896"/>
    <w:rsid w:val="00783C4B"/>
    <w:rsid w:val="0078548B"/>
    <w:rsid w:val="00787E45"/>
    <w:rsid w:val="0079062A"/>
    <w:rsid w:val="00792DB3"/>
    <w:rsid w:val="007A49D1"/>
    <w:rsid w:val="007A5CFE"/>
    <w:rsid w:val="007B12A5"/>
    <w:rsid w:val="007B17EB"/>
    <w:rsid w:val="007B4745"/>
    <w:rsid w:val="007C51B7"/>
    <w:rsid w:val="007D3FEE"/>
    <w:rsid w:val="007D4F71"/>
    <w:rsid w:val="007D65B4"/>
    <w:rsid w:val="007F1F46"/>
    <w:rsid w:val="007F4B78"/>
    <w:rsid w:val="008007F7"/>
    <w:rsid w:val="00802D13"/>
    <w:rsid w:val="00803821"/>
    <w:rsid w:val="00805C1A"/>
    <w:rsid w:val="0083113F"/>
    <w:rsid w:val="00831232"/>
    <w:rsid w:val="00834D02"/>
    <w:rsid w:val="0083539C"/>
    <w:rsid w:val="00840B6C"/>
    <w:rsid w:val="00845050"/>
    <w:rsid w:val="00857CD1"/>
    <w:rsid w:val="0086401F"/>
    <w:rsid w:val="0086407E"/>
    <w:rsid w:val="00864858"/>
    <w:rsid w:val="0086507F"/>
    <w:rsid w:val="00867089"/>
    <w:rsid w:val="00875288"/>
    <w:rsid w:val="00880948"/>
    <w:rsid w:val="008810F8"/>
    <w:rsid w:val="00884B42"/>
    <w:rsid w:val="00886E5F"/>
    <w:rsid w:val="00893853"/>
    <w:rsid w:val="00895C2B"/>
    <w:rsid w:val="008B286B"/>
    <w:rsid w:val="008C1CCC"/>
    <w:rsid w:val="008C460E"/>
    <w:rsid w:val="008D1323"/>
    <w:rsid w:val="008D440F"/>
    <w:rsid w:val="008D77C9"/>
    <w:rsid w:val="008E1A87"/>
    <w:rsid w:val="008F1E09"/>
    <w:rsid w:val="009073AF"/>
    <w:rsid w:val="00910EDC"/>
    <w:rsid w:val="00917227"/>
    <w:rsid w:val="009264A3"/>
    <w:rsid w:val="00927661"/>
    <w:rsid w:val="00927CF8"/>
    <w:rsid w:val="00931E7F"/>
    <w:rsid w:val="0093339B"/>
    <w:rsid w:val="00935519"/>
    <w:rsid w:val="00935802"/>
    <w:rsid w:val="0094402B"/>
    <w:rsid w:val="00952500"/>
    <w:rsid w:val="00952E4A"/>
    <w:rsid w:val="00953F6B"/>
    <w:rsid w:val="009552FE"/>
    <w:rsid w:val="00970920"/>
    <w:rsid w:val="00974EEE"/>
    <w:rsid w:val="00977D3A"/>
    <w:rsid w:val="0098295E"/>
    <w:rsid w:val="0098775C"/>
    <w:rsid w:val="00991041"/>
    <w:rsid w:val="009A01A8"/>
    <w:rsid w:val="009A7A28"/>
    <w:rsid w:val="009B0C7F"/>
    <w:rsid w:val="009B30EF"/>
    <w:rsid w:val="009B3389"/>
    <w:rsid w:val="009B704E"/>
    <w:rsid w:val="009B7C67"/>
    <w:rsid w:val="009C2459"/>
    <w:rsid w:val="009C2651"/>
    <w:rsid w:val="009D43F0"/>
    <w:rsid w:val="009E6F48"/>
    <w:rsid w:val="00A01F9D"/>
    <w:rsid w:val="00A05EDD"/>
    <w:rsid w:val="00A10B19"/>
    <w:rsid w:val="00A11F06"/>
    <w:rsid w:val="00A1439A"/>
    <w:rsid w:val="00A157FA"/>
    <w:rsid w:val="00A25347"/>
    <w:rsid w:val="00A25B7F"/>
    <w:rsid w:val="00A30C71"/>
    <w:rsid w:val="00A35F5F"/>
    <w:rsid w:val="00A36DFB"/>
    <w:rsid w:val="00A431E1"/>
    <w:rsid w:val="00A54611"/>
    <w:rsid w:val="00A5694F"/>
    <w:rsid w:val="00A575C7"/>
    <w:rsid w:val="00A64EFC"/>
    <w:rsid w:val="00A6567D"/>
    <w:rsid w:val="00A76002"/>
    <w:rsid w:val="00A80917"/>
    <w:rsid w:val="00A85221"/>
    <w:rsid w:val="00A918A2"/>
    <w:rsid w:val="00A91AD6"/>
    <w:rsid w:val="00AA12EE"/>
    <w:rsid w:val="00AB07CD"/>
    <w:rsid w:val="00AB1520"/>
    <w:rsid w:val="00AB35C8"/>
    <w:rsid w:val="00AB51F7"/>
    <w:rsid w:val="00AC1C05"/>
    <w:rsid w:val="00AC6D5B"/>
    <w:rsid w:val="00AE0BA9"/>
    <w:rsid w:val="00AE1752"/>
    <w:rsid w:val="00B0274C"/>
    <w:rsid w:val="00B02961"/>
    <w:rsid w:val="00B1090A"/>
    <w:rsid w:val="00B1313E"/>
    <w:rsid w:val="00B177A0"/>
    <w:rsid w:val="00B338DA"/>
    <w:rsid w:val="00B4122C"/>
    <w:rsid w:val="00B418AC"/>
    <w:rsid w:val="00B447E7"/>
    <w:rsid w:val="00B45DA8"/>
    <w:rsid w:val="00B46A70"/>
    <w:rsid w:val="00B4785A"/>
    <w:rsid w:val="00B553C7"/>
    <w:rsid w:val="00B66CD7"/>
    <w:rsid w:val="00B66D4A"/>
    <w:rsid w:val="00B81075"/>
    <w:rsid w:val="00B814D7"/>
    <w:rsid w:val="00B839FF"/>
    <w:rsid w:val="00B843A7"/>
    <w:rsid w:val="00B850CE"/>
    <w:rsid w:val="00BA67CE"/>
    <w:rsid w:val="00BB26E4"/>
    <w:rsid w:val="00BB53A1"/>
    <w:rsid w:val="00BC6EA0"/>
    <w:rsid w:val="00BD5423"/>
    <w:rsid w:val="00BF0AE6"/>
    <w:rsid w:val="00BF1DAB"/>
    <w:rsid w:val="00BF305D"/>
    <w:rsid w:val="00C076F1"/>
    <w:rsid w:val="00C07B3E"/>
    <w:rsid w:val="00C102BA"/>
    <w:rsid w:val="00C11900"/>
    <w:rsid w:val="00C220D1"/>
    <w:rsid w:val="00C4385C"/>
    <w:rsid w:val="00C459AB"/>
    <w:rsid w:val="00C47DF9"/>
    <w:rsid w:val="00C56921"/>
    <w:rsid w:val="00C56DBF"/>
    <w:rsid w:val="00C74CAB"/>
    <w:rsid w:val="00C768A1"/>
    <w:rsid w:val="00C77C0B"/>
    <w:rsid w:val="00C80177"/>
    <w:rsid w:val="00C81D57"/>
    <w:rsid w:val="00C8276B"/>
    <w:rsid w:val="00C84348"/>
    <w:rsid w:val="00C84F29"/>
    <w:rsid w:val="00C85262"/>
    <w:rsid w:val="00C94830"/>
    <w:rsid w:val="00C94D71"/>
    <w:rsid w:val="00C95A07"/>
    <w:rsid w:val="00CB17D0"/>
    <w:rsid w:val="00CC18CF"/>
    <w:rsid w:val="00CD1B6F"/>
    <w:rsid w:val="00CF39F6"/>
    <w:rsid w:val="00D0772B"/>
    <w:rsid w:val="00D14D32"/>
    <w:rsid w:val="00D249A4"/>
    <w:rsid w:val="00D26C69"/>
    <w:rsid w:val="00D27EBD"/>
    <w:rsid w:val="00D32266"/>
    <w:rsid w:val="00D353C3"/>
    <w:rsid w:val="00D371EC"/>
    <w:rsid w:val="00D42360"/>
    <w:rsid w:val="00D425EF"/>
    <w:rsid w:val="00D47DAF"/>
    <w:rsid w:val="00D563C7"/>
    <w:rsid w:val="00D6361E"/>
    <w:rsid w:val="00D64A96"/>
    <w:rsid w:val="00D87273"/>
    <w:rsid w:val="00D91691"/>
    <w:rsid w:val="00D96DBF"/>
    <w:rsid w:val="00DA177E"/>
    <w:rsid w:val="00DA1DFF"/>
    <w:rsid w:val="00DB0E7F"/>
    <w:rsid w:val="00DB40F7"/>
    <w:rsid w:val="00DB4EA0"/>
    <w:rsid w:val="00DC7289"/>
    <w:rsid w:val="00DC767D"/>
    <w:rsid w:val="00DD0225"/>
    <w:rsid w:val="00DD7DED"/>
    <w:rsid w:val="00DF6E13"/>
    <w:rsid w:val="00E0255D"/>
    <w:rsid w:val="00E034CD"/>
    <w:rsid w:val="00E03DFB"/>
    <w:rsid w:val="00E05920"/>
    <w:rsid w:val="00E067E3"/>
    <w:rsid w:val="00E16DB4"/>
    <w:rsid w:val="00E30C9B"/>
    <w:rsid w:val="00E31800"/>
    <w:rsid w:val="00E3590D"/>
    <w:rsid w:val="00E455C9"/>
    <w:rsid w:val="00E473A0"/>
    <w:rsid w:val="00E476E7"/>
    <w:rsid w:val="00E51F9F"/>
    <w:rsid w:val="00E51FD6"/>
    <w:rsid w:val="00E543AC"/>
    <w:rsid w:val="00E62465"/>
    <w:rsid w:val="00E639E7"/>
    <w:rsid w:val="00E650E1"/>
    <w:rsid w:val="00E70432"/>
    <w:rsid w:val="00E70CB2"/>
    <w:rsid w:val="00E86101"/>
    <w:rsid w:val="00E95C82"/>
    <w:rsid w:val="00EA206E"/>
    <w:rsid w:val="00EB1C7D"/>
    <w:rsid w:val="00EB5DD1"/>
    <w:rsid w:val="00ED3929"/>
    <w:rsid w:val="00ED41E4"/>
    <w:rsid w:val="00ED6644"/>
    <w:rsid w:val="00EE36C5"/>
    <w:rsid w:val="00EF0BCB"/>
    <w:rsid w:val="00EF1163"/>
    <w:rsid w:val="00EF1A98"/>
    <w:rsid w:val="00EF3D5A"/>
    <w:rsid w:val="00F10A15"/>
    <w:rsid w:val="00F15138"/>
    <w:rsid w:val="00F21080"/>
    <w:rsid w:val="00F25E4B"/>
    <w:rsid w:val="00F267CE"/>
    <w:rsid w:val="00F30B65"/>
    <w:rsid w:val="00F31715"/>
    <w:rsid w:val="00F31F38"/>
    <w:rsid w:val="00F33FB5"/>
    <w:rsid w:val="00F426F3"/>
    <w:rsid w:val="00F453B5"/>
    <w:rsid w:val="00F564A9"/>
    <w:rsid w:val="00F64590"/>
    <w:rsid w:val="00F701F3"/>
    <w:rsid w:val="00F7033E"/>
    <w:rsid w:val="00F73243"/>
    <w:rsid w:val="00F73F45"/>
    <w:rsid w:val="00F743A6"/>
    <w:rsid w:val="00F83DAC"/>
    <w:rsid w:val="00F8535F"/>
    <w:rsid w:val="00F85CC7"/>
    <w:rsid w:val="00F941EB"/>
    <w:rsid w:val="00FA5BD7"/>
    <w:rsid w:val="00FB2AB3"/>
    <w:rsid w:val="00FB319C"/>
    <w:rsid w:val="00FB360B"/>
    <w:rsid w:val="00FB5591"/>
    <w:rsid w:val="00FB732C"/>
    <w:rsid w:val="00FD26C7"/>
    <w:rsid w:val="00FD2998"/>
    <w:rsid w:val="00FE2FA1"/>
    <w:rsid w:val="00FE4A55"/>
    <w:rsid w:val="00FE53B6"/>
    <w:rsid w:val="00FE5CE2"/>
    <w:rsid w:val="00FE5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0EEB855"/>
  <w15:docId w15:val="{07DABE25-15DE-4743-AE4F-872881522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locked/>
    <w:rsid w:val="000458CE"/>
    <w:pPr>
      <w:keepNext/>
      <w:keepLines/>
      <w:overflowPunct w:val="0"/>
      <w:autoSpaceDE w:val="0"/>
      <w:autoSpaceDN w:val="0"/>
      <w:adjustRightInd w:val="0"/>
      <w:spacing w:line="360" w:lineRule="auto"/>
      <w:textAlignment w:val="baseline"/>
      <w:outlineLvl w:val="5"/>
    </w:pPr>
    <w:rPr>
      <w:rFonts w:asciiTheme="majorHAnsi" w:eastAsiaTheme="majorEastAsia" w:hAnsiTheme="majorHAnsi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Header">
    <w:name w:val="header"/>
    <w:basedOn w:val="Normal"/>
    <w:link w:val="Head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81D57"/>
    <w:rPr>
      <w:b/>
      <w:bCs/>
    </w:rPr>
  </w:style>
  <w:style w:type="character" w:customStyle="1" w:styleId="autor">
    <w:name w:val="autor"/>
    <w:basedOn w:val="DefaultParagraphFont"/>
    <w:uiPriority w:val="99"/>
    <w:rsid w:val="00C81D57"/>
  </w:style>
  <w:style w:type="character" w:styleId="Emphasis">
    <w:name w:val="Emphasis"/>
    <w:basedOn w:val="DefaultParagraphFont"/>
    <w:uiPriority w:val="99"/>
    <w:qFormat/>
    <w:rsid w:val="00C81D57"/>
    <w:rPr>
      <w:i/>
      <w:iCs/>
    </w:rPr>
  </w:style>
  <w:style w:type="table" w:styleId="TableGrid">
    <w:name w:val="Table Grid"/>
    <w:basedOn w:val="TableNormal"/>
    <w:uiPriority w:val="39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DefaultParagraphFont"/>
    <w:uiPriority w:val="99"/>
    <w:rsid w:val="00DF6E13"/>
  </w:style>
  <w:style w:type="character" w:customStyle="1" w:styleId="alineat">
    <w:name w:val="alineat"/>
    <w:basedOn w:val="DefaultParagraphFont"/>
    <w:uiPriority w:val="99"/>
    <w:rsid w:val="00DF6E13"/>
  </w:style>
  <w:style w:type="character" w:customStyle="1" w:styleId="litera">
    <w:name w:val="litera"/>
    <w:basedOn w:val="DefaultParagraphFont"/>
    <w:uiPriority w:val="99"/>
    <w:rsid w:val="00DF6E13"/>
  </w:style>
  <w:style w:type="character" w:customStyle="1" w:styleId="preambul">
    <w:name w:val="preambul"/>
    <w:basedOn w:val="DefaultParagraphFont"/>
    <w:uiPriority w:val="99"/>
    <w:rsid w:val="00DF6E13"/>
  </w:style>
  <w:style w:type="character" w:customStyle="1" w:styleId="punct">
    <w:name w:val="punct"/>
    <w:basedOn w:val="DefaultParagraphFont"/>
    <w:uiPriority w:val="99"/>
    <w:rsid w:val="00DF6E13"/>
  </w:style>
  <w:style w:type="character" w:customStyle="1" w:styleId="paragraf">
    <w:name w:val="paragraf"/>
    <w:basedOn w:val="DefaultParagraphFont"/>
    <w:uiPriority w:val="99"/>
    <w:rsid w:val="00DF6E13"/>
  </w:style>
  <w:style w:type="character" w:customStyle="1" w:styleId="searchidx2">
    <w:name w:val="search_idx_2"/>
    <w:basedOn w:val="DefaultParagraphFont"/>
    <w:uiPriority w:val="99"/>
    <w:rsid w:val="00DF6E13"/>
  </w:style>
  <w:style w:type="character" w:customStyle="1" w:styleId="searchidx0">
    <w:name w:val="search_idx_0"/>
    <w:basedOn w:val="DefaultParagraphFont"/>
    <w:uiPriority w:val="99"/>
    <w:rsid w:val="00DF6E13"/>
  </w:style>
  <w:style w:type="character" w:customStyle="1" w:styleId="searchidx1">
    <w:name w:val="search_idx_1"/>
    <w:basedOn w:val="DefaultParagraphFont"/>
    <w:uiPriority w:val="99"/>
    <w:rsid w:val="00DF6E13"/>
  </w:style>
  <w:style w:type="character" w:customStyle="1" w:styleId="tabel">
    <w:name w:val="tabel"/>
    <w:basedOn w:val="DefaultParagraphFont"/>
    <w:uiPriority w:val="99"/>
    <w:rsid w:val="00DF6E13"/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34"/>
    <w:qFormat/>
    <w:rsid w:val="000C2457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qFormat/>
    <w:locked/>
    <w:rsid w:val="009B33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9B3389"/>
    <w:rPr>
      <w:rFonts w:asciiTheme="minorHAnsi" w:eastAsiaTheme="minorEastAsia" w:hAnsiTheme="minorHAnsi" w:cstheme="minorBidi"/>
      <w:color w:val="5A5A5A" w:themeColor="text1" w:themeTint="A5"/>
      <w:spacing w:val="15"/>
      <w:lang w:val="ro-RO" w:eastAsia="ro-RO"/>
    </w:rPr>
  </w:style>
  <w:style w:type="character" w:customStyle="1" w:styleId="Heading6Char">
    <w:name w:val="Heading 6 Char"/>
    <w:basedOn w:val="DefaultParagraphFont"/>
    <w:link w:val="Heading6"/>
    <w:uiPriority w:val="9"/>
    <w:rsid w:val="000458CE"/>
    <w:rPr>
      <w:rFonts w:asciiTheme="majorHAnsi" w:eastAsiaTheme="majorEastAsia" w:hAnsiTheme="majorHAnsi"/>
      <w:b/>
      <w:sz w:val="24"/>
      <w:szCs w:val="20"/>
      <w:lang w:val="ro-RO"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458CE"/>
    <w:rPr>
      <w:rFonts w:asciiTheme="minorHAnsi" w:hAnsiTheme="minorHAns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58CE"/>
    <w:rPr>
      <w:rFonts w:asciiTheme="minorHAnsi" w:eastAsia="Times New Roman" w:hAnsiTheme="minorHAnsi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0458CE"/>
    <w:rPr>
      <w:rFonts w:cs="Times New Roman"/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0458CE"/>
    <w:rPr>
      <w:rFonts w:eastAsia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rey">
    <w:name w:val="grey"/>
    <w:basedOn w:val="DefaultParagraphFont"/>
    <w:rsid w:val="000458CE"/>
    <w:rPr>
      <w:rFonts w:cs="Times New Roman"/>
    </w:rPr>
  </w:style>
  <w:style w:type="character" w:customStyle="1" w:styleId="titlu">
    <w:name w:val="titlu"/>
    <w:basedOn w:val="DefaultParagraphFont"/>
    <w:rsid w:val="000458CE"/>
    <w:rPr>
      <w:rFonts w:cs="Times New Roman"/>
    </w:rPr>
  </w:style>
  <w:style w:type="character" w:customStyle="1" w:styleId="lead">
    <w:name w:val="lead"/>
    <w:basedOn w:val="DefaultParagraphFont"/>
    <w:rsid w:val="000458CE"/>
    <w:rPr>
      <w:rFonts w:cs="Times New Roman"/>
    </w:rPr>
  </w:style>
  <w:style w:type="paragraph" w:styleId="NoSpacing">
    <w:name w:val="No Spacing"/>
    <w:uiPriority w:val="1"/>
    <w:qFormat/>
    <w:rsid w:val="000458CE"/>
    <w:rPr>
      <w:rFonts w:eastAsia="Times New Roman"/>
    </w:rPr>
  </w:style>
  <w:style w:type="paragraph" w:customStyle="1" w:styleId="Default">
    <w:name w:val="Default"/>
    <w:rsid w:val="000458C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rticlecontent">
    <w:name w:val="article_content"/>
    <w:basedOn w:val="DefaultParagraphFont"/>
    <w:rsid w:val="000458CE"/>
    <w:rPr>
      <w:rFonts w:cs="Times New Roman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0458CE"/>
    <w:pPr>
      <w:overflowPunct w:val="0"/>
      <w:autoSpaceDE w:val="0"/>
      <w:autoSpaceDN w:val="0"/>
      <w:adjustRightInd w:val="0"/>
      <w:contextualSpacing/>
      <w:jc w:val="center"/>
      <w:textAlignment w:val="baseline"/>
    </w:pPr>
    <w:rPr>
      <w:rFonts w:ascii="Arial" w:eastAsiaTheme="majorEastAsia" w:hAnsi="Arial"/>
      <w:b/>
      <w:spacing w:val="-10"/>
      <w:kern w:val="28"/>
      <w:sz w:val="2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58CE"/>
    <w:rPr>
      <w:rFonts w:ascii="Arial" w:eastAsiaTheme="majorEastAsia" w:hAnsi="Arial"/>
      <w:b/>
      <w:spacing w:val="-10"/>
      <w:kern w:val="28"/>
      <w:szCs w:val="56"/>
      <w:lang w:val="ro-RO" w:eastAsia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0458CE"/>
    <w:pPr>
      <w:keepLines/>
      <w:spacing w:after="0" w:line="259" w:lineRule="auto"/>
      <w:jc w:val="center"/>
      <w:outlineLvl w:val="9"/>
    </w:pPr>
    <w:rPr>
      <w:rFonts w:asciiTheme="majorHAnsi" w:eastAsiaTheme="majorEastAsia" w:hAnsiTheme="majorHAnsi" w:cs="Times New Roman"/>
      <w:b w:val="0"/>
      <w:bCs w:val="0"/>
      <w:color w:val="365F91" w:themeColor="accent1" w:themeShade="BF"/>
      <w:kern w:val="0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textAlignment w:val="baseline"/>
    </w:pPr>
    <w:rPr>
      <w:szCs w:val="20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240"/>
      <w:textAlignment w:val="baseline"/>
    </w:pPr>
    <w:rPr>
      <w:szCs w:val="20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480"/>
      <w:textAlignment w:val="baseline"/>
    </w:pPr>
    <w:rPr>
      <w:szCs w:val="20"/>
    </w:rPr>
  </w:style>
  <w:style w:type="paragraph" w:styleId="TOC4">
    <w:name w:val="toc 4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720"/>
      <w:textAlignment w:val="baseline"/>
    </w:pPr>
    <w:rPr>
      <w:szCs w:val="20"/>
    </w:rPr>
  </w:style>
  <w:style w:type="paragraph" w:styleId="TOC5">
    <w:name w:val="toc 5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960"/>
      <w:textAlignment w:val="baseline"/>
    </w:pPr>
    <w:rPr>
      <w:szCs w:val="20"/>
    </w:rPr>
  </w:style>
  <w:style w:type="paragraph" w:styleId="TOC6">
    <w:name w:val="toc 6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1200"/>
      <w:textAlignment w:val="baseline"/>
    </w:pPr>
    <w:rPr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58C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58CE"/>
    <w:rPr>
      <w:rFonts w:ascii="Times New Roman" w:eastAsia="Times New Roman" w:hAnsi="Times New Roman"/>
      <w:sz w:val="20"/>
      <w:szCs w:val="20"/>
      <w:lang w:val="ro-RO" w:eastAsia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58CE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character" w:customStyle="1" w:styleId="CommentSubjectChar11">
    <w:name w:val="Comment Subject Char11"/>
    <w:basedOn w:val="CommentTextChar"/>
    <w:uiPriority w:val="99"/>
    <w:semiHidden/>
    <w:rsid w:val="000458CE"/>
    <w:rPr>
      <w:rFonts w:ascii="Times New Roman" w:eastAsia="Times New Roman" w:hAnsi="Times New Roman" w:cs="Times New Roman"/>
      <w:b/>
      <w:bCs/>
      <w:sz w:val="20"/>
      <w:szCs w:val="20"/>
      <w:lang w:val="ro-RO" w:eastAsia="ro-RO"/>
    </w:rPr>
  </w:style>
  <w:style w:type="table" w:customStyle="1" w:styleId="GridTable1Light-Accent11">
    <w:name w:val="Grid Table 1 Light - Accent 11"/>
    <w:basedOn w:val="TableNormal"/>
    <w:uiPriority w:val="46"/>
    <w:rsid w:val="000458CE"/>
    <w:rPr>
      <w:rFonts w:asciiTheme="minorHAnsi" w:eastAsia="Times New Roman" w:hAnsiTheme="minorHAnsi"/>
      <w:lang w:val="ro-RO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0458CE"/>
    <w:rPr>
      <w:rFonts w:cs="Times New Roman"/>
      <w:color w:val="605E5C"/>
      <w:shd w:val="clear" w:color="auto" w:fill="E1DFDD"/>
    </w:rPr>
  </w:style>
  <w:style w:type="paragraph" w:customStyle="1" w:styleId="Tabel0">
    <w:name w:val="Tabel"/>
    <w:basedOn w:val="Normal"/>
    <w:qFormat/>
    <w:rsid w:val="000458CE"/>
    <w:pPr>
      <w:autoSpaceDE w:val="0"/>
      <w:autoSpaceDN w:val="0"/>
      <w:adjustRightInd w:val="0"/>
      <w:spacing w:after="120" w:line="276" w:lineRule="auto"/>
      <w:jc w:val="center"/>
    </w:pPr>
    <w:rPr>
      <w:rFonts w:ascii="Calibri" w:hAnsi="Calibri" w:cs="Calibri"/>
      <w:bCs/>
      <w:noProof/>
      <w:color w:val="548DD4" w:themeColor="text2" w:themeTint="99"/>
      <w:sz w:val="20"/>
      <w:szCs w:val="18"/>
    </w:rPr>
  </w:style>
  <w:style w:type="paragraph" w:customStyle="1" w:styleId="Raport-body-6after">
    <w:name w:val="Raport-body-6after"/>
    <w:basedOn w:val="Normal"/>
    <w:qFormat/>
    <w:rsid w:val="000458CE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paragraph" w:customStyle="1" w:styleId="Figuri">
    <w:name w:val="Figuri"/>
    <w:basedOn w:val="Normal"/>
    <w:qFormat/>
    <w:rsid w:val="000458CE"/>
    <w:pPr>
      <w:spacing w:after="120" w:line="276" w:lineRule="auto"/>
      <w:jc w:val="center"/>
    </w:pPr>
    <w:rPr>
      <w:rFonts w:ascii="Calibri" w:hAnsi="Calibri" w:cs="Calibri"/>
      <w:i/>
      <w:color w:val="548DD4" w:themeColor="text2" w:themeTint="99"/>
      <w:sz w:val="20"/>
      <w:szCs w:val="16"/>
    </w:rPr>
  </w:style>
  <w:style w:type="paragraph" w:customStyle="1" w:styleId="Raport-body">
    <w:name w:val="Raport-body"/>
    <w:basedOn w:val="Normal"/>
    <w:qFormat/>
    <w:rsid w:val="000458CE"/>
    <w:pPr>
      <w:autoSpaceDE w:val="0"/>
      <w:autoSpaceDN w:val="0"/>
      <w:adjustRightInd w:val="0"/>
      <w:spacing w:before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character" w:customStyle="1" w:styleId="apple-converted-space">
    <w:name w:val="apple-converted-space"/>
    <w:basedOn w:val="DefaultParagraphFont"/>
    <w:rsid w:val="000458CE"/>
    <w:rPr>
      <w:rFonts w:cs="Times New Roman"/>
    </w:rPr>
  </w:style>
  <w:style w:type="paragraph" w:customStyle="1" w:styleId="BodyA">
    <w:name w:val="Body A"/>
    <w:rsid w:val="005C3E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u w:color="000000"/>
      <w:bdr w:val="nil"/>
      <w:lang w:val="en-GB"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510990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84010"/>
    <w:rPr>
      <w:sz w:val="16"/>
      <w:szCs w:val="16"/>
    </w:rPr>
  </w:style>
  <w:style w:type="paragraph" w:styleId="Revision">
    <w:name w:val="Revision"/>
    <w:hidden/>
    <w:uiPriority w:val="99"/>
    <w:semiHidden/>
    <w:rsid w:val="00284010"/>
    <w:rPr>
      <w:rFonts w:ascii="Times New Roman" w:eastAsia="Times New Roman" w:hAnsi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capgemini.com/research/the-future-of-work/" TargetMode="External"/><Relationship Id="rId18" Type="http://schemas.openxmlformats.org/officeDocument/2006/relationships/hyperlink" Target="https://www.shrm.org/hr-today/news/all-things-work/Pages/the-workplace-in-2025.aspx" TargetMode="External"/><Relationship Id="rId26" Type="http://schemas.openxmlformats.org/officeDocument/2006/relationships/image" Target="media/image1.jpg"/><Relationship Id="rId3" Type="http://schemas.openxmlformats.org/officeDocument/2006/relationships/styles" Target="styles.xml"/><Relationship Id="rId21" Type="http://schemas.openxmlformats.org/officeDocument/2006/relationships/hyperlink" Target="https://www.workday.com/content/dam/web/uk/documents/datasheets/datasheet-compensation-uk.pdf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eur-lex.europa.eu/eli/dir/2023/970/oj/eng" TargetMode="External"/><Relationship Id="rId17" Type="http://schemas.openxmlformats.org/officeDocument/2006/relationships/hyperlink" Target="https://eur-lex.europa.eu/eli/dir/2023/970/oj/eng" TargetMode="External"/><Relationship Id="rId25" Type="http://schemas.microsoft.com/office/2016/09/relationships/commentsIds" Target="commentsIds.xml"/><Relationship Id="rId33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hyperlink" Target="https://www.aihr.com/blog/hr-trends/" TargetMode="External"/><Relationship Id="rId20" Type="http://schemas.openxmlformats.org/officeDocument/2006/relationships/hyperlink" Target="https://codetiburon.com/machine-learning-changing-hr-industry/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on.com/en/insights/articles/navigating-the-new-eu-directive-on-pay-transparency" TargetMode="External"/><Relationship Id="rId24" Type="http://schemas.microsoft.com/office/2011/relationships/commentsExtended" Target="commentsExtended.xm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analyticsinhr.com/blog/hr-analytics-courses/" TargetMode="External"/><Relationship Id="rId23" Type="http://schemas.openxmlformats.org/officeDocument/2006/relationships/comments" Target="comments.xml"/><Relationship Id="rId28" Type="http://schemas.openxmlformats.org/officeDocument/2006/relationships/footer" Target="footer1.xml"/><Relationship Id="rId10" Type="http://schemas.openxmlformats.org/officeDocument/2006/relationships/hyperlink" Target="https://mirro.io/blog/author/theodora-stanciu" TargetMode="External"/><Relationship Id="rId19" Type="http://schemas.openxmlformats.org/officeDocument/2006/relationships/hyperlink" Target="https://www.hrtrendinstitute.com/blog/2024/11/27/2024-hr-and-people-trend-predictions-report-recap" TargetMode="External"/><Relationship Id="rId31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aihr.com/blog/hr-trends/" TargetMode="External"/><Relationship Id="rId14" Type="http://schemas.openxmlformats.org/officeDocument/2006/relationships/hyperlink" Target="https://www.weforum.org/reports/the-future-of-jobs-report-2020" TargetMode="External"/><Relationship Id="rId22" Type="http://schemas.openxmlformats.org/officeDocument/2006/relationships/hyperlink" Target="https://www.uvt.ro/wp-content/uploads/sites/3/2026/01/Regulament-UVT_Utilizarea-AI-in-educatie.pdf" TargetMode="External"/><Relationship Id="rId27" Type="http://schemas.openxmlformats.org/officeDocument/2006/relationships/header" Target="header1.xml"/><Relationship Id="rId30" Type="http://schemas.openxmlformats.org/officeDocument/2006/relationships/header" Target="header2.xml"/><Relationship Id="rId8" Type="http://schemas.openxmlformats.org/officeDocument/2006/relationships/hyperlink" Target="https://classroom.google.com/c/NzkzNTQwNzM3OTA3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5" Type="http://schemas.openxmlformats.org/officeDocument/2006/relationships/hyperlink" Target="Website:%20http://www.uvt.ro/" TargetMode="External"/><Relationship Id="rId4" Type="http://schemas.openxmlformats.org/officeDocument/2006/relationships/hyperlink" Target="http://www.uvt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4" Type="http://schemas.openxmlformats.org/officeDocument/2006/relationships/hyperlink" Target="http://www.uvt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FF8FBEC-5E89-F547-907A-7E9C7FA59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6</Pages>
  <Words>2648</Words>
  <Characters>15094</Characters>
  <Application>Microsoft Office Word</Application>
  <DocSecurity>0</DocSecurity>
  <Lines>125</Lines>
  <Paragraphs>35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Nr</vt:lpstr>
    </vt:vector>
  </TitlesOfParts>
  <Company/>
  <LinksUpToDate>false</LinksUpToDate>
  <CharactersWithSpaces>17707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Coralia Sulea</cp:lastModifiedBy>
  <cp:revision>25</cp:revision>
  <cp:lastPrinted>2017-11-08T12:05:00Z</cp:lastPrinted>
  <dcterms:created xsi:type="dcterms:W3CDTF">2026-01-20T13:22:00Z</dcterms:created>
  <dcterms:modified xsi:type="dcterms:W3CDTF">2026-02-08T15:09:00Z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0f54b844-13d7-4e44-bc66-f4835ba175ea</vt:lpwstr>
  </property>
</Properties>
</file>